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98419345"/>
        <w:docPartObj>
          <w:docPartGallery w:val="Cover Pages"/>
          <w:docPartUnique/>
        </w:docPartObj>
      </w:sdtPr>
      <w:sdtEndPr>
        <w:rPr>
          <w:rFonts w:asciiTheme="majorHAnsi" w:eastAsiaTheme="majorEastAsia" w:hAnsiTheme="majorHAnsi" w:cstheme="majorBidi"/>
          <w:sz w:val="76"/>
          <w:szCs w:val="72"/>
          <w:lang w:val="en-US" w:eastAsia="ja-JP"/>
        </w:rPr>
      </w:sdtEndPr>
      <w:sdtContent>
        <w:p w:rsidR="001D7AF9" w:rsidRDefault="001D7AF9">
          <w:r>
            <w:rPr>
              <w:noProof/>
              <w:lang w:val="en-US"/>
            </w:rPr>
            <mc:AlternateContent>
              <mc:Choice Requires="wps">
                <w:drawing>
                  <wp:anchor distT="0" distB="0" distL="114300" distR="114300" simplePos="0" relativeHeight="251659264" behindDoc="0" locked="0" layoutInCell="1" allowOverlap="1" wp14:anchorId="45814C9F" wp14:editId="0C654D2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023870" cy="8715375"/>
                    <wp:effectExtent l="0" t="0" r="24130" b="28575"/>
                    <wp:wrapNone/>
                    <wp:docPr id="36" name="Rectangle 36"/>
                    <wp:cNvGraphicFramePr/>
                    <a:graphic xmlns:a="http://schemas.openxmlformats.org/drawingml/2006/main">
                      <a:graphicData uri="http://schemas.microsoft.com/office/word/2010/wordprocessingShape">
                        <wps:wsp>
                          <wps:cNvSpPr/>
                          <wps:spPr>
                            <a:xfrm>
                              <a:off x="0" y="0"/>
                              <a:ext cx="3023870" cy="87153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0;width:238.1pt;height:686.25pt;z-index:251659264;visibility:visible;mso-wrap-style:square;mso-width-percent:0;mso-height-percent:0;mso-left-percent:440;mso-top-percent:25;mso-wrap-distance-left:9pt;mso-wrap-distance-top:0;mso-wrap-distance-right:9pt;mso-wrap-distance-bottom:0;mso-position-horizontal-relative:page;mso-position-vertical-relative:page;mso-width-percent: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" fillcolor="white [3212]" strokecolor="#938953 [1614]" strokeweight="1.25pt">
                    <w10:wrap anchorx="page" anchory="page"/>
                  </v:rect>
                </w:pict>
              </mc:Fallback>
            </mc:AlternateContent>
          </w:r>
          <w:r>
            <w:rPr>
              <w:noProof/>
              <w:lang w:val="en-US"/>
            </w:rPr>
            <mc:AlternateContent>
              <mc:Choice Requires="wps">
                <w:drawing>
                  <wp:anchor distT="0" distB="0" distL="114300" distR="114300" simplePos="0" relativeHeight="251663360" behindDoc="1" locked="0" layoutInCell="1" allowOverlap="1" wp14:anchorId="00AE3B4D" wp14:editId="3725A601">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D7AF9" w:rsidRDefault="001D7AF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1D7AF9" w:rsidRDefault="001D7AF9"/>
                      </w:txbxContent>
                    </v:textbox>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14:anchorId="3A5E5493" wp14:editId="4FDF530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7AF9" w:rsidRPr="001D7AF9" w:rsidRDefault="00A80C22">
                                <w:pPr>
                                  <w:spacing w:before="240"/>
                                  <w:jc w:val="center"/>
                                  <w:rPr>
                                    <w:color w:val="FFFFFF" w:themeColor="background1"/>
                                    <w:lang w:val="en-US"/>
                                  </w:rPr>
                                </w:pPr>
                                <w:sdt>
                                  <w:sdtPr>
                                    <w:rPr>
                                      <w:color w:val="FFFFFF" w:themeColor="background1"/>
                                      <w:sz w:val="96"/>
                                      <w:szCs w:val="96"/>
                                    </w:rPr>
                                    <w:alias w:val="Abstract"/>
                                    <w:id w:val="207926161"/>
                                    <w:dataBinding w:prefixMappings="xmlns:ns0='http://schemas.microsoft.com/office/2006/coverPageProps'" w:xpath="/ns0:CoverPageProperties[1]/ns0:Abstract[1]" w:storeItemID="{55AF091B-3C7A-41E3-B477-F2FDAA23CFDA}"/>
                                    <w:text/>
                                  </w:sdtPr>
                                  <w:sdtEndPr/>
                                  <w:sdtContent>
                                    <w:r w:rsidR="001D7AF9" w:rsidRPr="001D7AF9">
                                      <w:rPr>
                                        <w:color w:val="FFFFFF" w:themeColor="background1"/>
                                        <w:sz w:val="96"/>
                                        <w:szCs w:val="96"/>
                                      </w:rPr>
                                      <w:t>2018</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1D7AF9" w:rsidRPr="001D7AF9" w:rsidRDefault="001D7AF9">
                          <w:pPr>
                            <w:spacing w:before="240"/>
                            <w:jc w:val="center"/>
                            <w:rPr>
                              <w:color w:val="FFFFFF" w:themeColor="background1"/>
                              <w:lang w:val="en-US"/>
                            </w:rPr>
                          </w:pPr>
                          <w:sdt>
                            <w:sdtPr>
                              <w:rPr>
                                <w:color w:val="FFFFFF" w:themeColor="background1"/>
                                <w:sz w:val="96"/>
                                <w:szCs w:val="96"/>
                              </w:rPr>
                              <w:alias w:val="Abstract"/>
                              <w:id w:val="207926161"/>
                              <w:dataBinding w:prefixMappings="xmlns:ns0='http://schemas.microsoft.com/office/2006/coverPageProps'" w:xpath="/ns0:CoverPageProperties[1]/ns0:Abstract[1]" w:storeItemID="{55AF091B-3C7A-41E3-B477-F2FDAA23CFDA}"/>
                              <w:text/>
                            </w:sdtPr>
                            <w:sdtContent>
                              <w:r w:rsidRPr="001D7AF9">
                                <w:rPr>
                                  <w:color w:val="FFFFFF" w:themeColor="background1"/>
                                  <w:sz w:val="96"/>
                                  <w:szCs w:val="96"/>
                                </w:rPr>
                                <w:t>2018</w:t>
                              </w:r>
                            </w:sdtContent>
                          </w:sdt>
                        </w:p>
                      </w:txbxContent>
                    </v:textbox>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14:anchorId="2D9974DE" wp14:editId="7325452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p>
        <w:p w:rsidR="001D7AF9" w:rsidRDefault="00B55EF6">
          <w:pPr>
            <w:rPr>
              <w:rFonts w:asciiTheme="majorHAnsi" w:eastAsiaTheme="majorEastAsia" w:hAnsiTheme="majorHAnsi" w:cstheme="majorBidi"/>
              <w:sz w:val="76"/>
              <w:szCs w:val="72"/>
              <w:lang w:val="en-US" w:eastAsia="ja-JP"/>
            </w:rPr>
          </w:pPr>
          <w:r>
            <w:rPr>
              <w:noProof/>
              <w:lang w:val="en-US"/>
            </w:rPr>
            <mc:AlternateContent>
              <mc:Choice Requires="wps">
                <w:drawing>
                  <wp:anchor distT="0" distB="0" distL="114300" distR="114300" simplePos="0" relativeHeight="251661312" behindDoc="0" locked="0" layoutInCell="1" allowOverlap="1" wp14:anchorId="47E76F76" wp14:editId="14ABCAC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175"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175" cy="2475230"/>
                            </a:xfrm>
                            <a:prstGeom prst="rect">
                              <a:avLst/>
                            </a:prstGeom>
                            <a:noFill/>
                            <a:ln w="6350">
                              <a:noFill/>
                            </a:ln>
                            <a:effectLst/>
                          </wps:spPr>
                          <wps:txbx>
                            <w:txbxContent>
                              <w:sdt>
                                <w:sdtPr>
                                  <w:rPr>
                                    <w:rFonts w:asciiTheme="majorHAnsi" w:hAnsiTheme="majorHAnsi"/>
                                    <w:noProof/>
                                    <w:color w:val="4F81BD" w:themeColor="accent1"/>
                                    <w:sz w:val="50"/>
                                    <w:szCs w:val="50"/>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1D7AF9" w:rsidRPr="001D7AF9" w:rsidRDefault="001D7AF9">
                                    <w:pPr>
                                      <w:rPr>
                                        <w:rFonts w:asciiTheme="majorHAnsi" w:hAnsiTheme="majorHAnsi"/>
                                        <w:noProof/>
                                        <w:color w:val="4F81BD" w:themeColor="accent1"/>
                                        <w:sz w:val="72"/>
                                        <w:szCs w:val="144"/>
                                      </w:rPr>
                                    </w:pPr>
                                    <w:r w:rsidRPr="001D7AF9">
                                      <w:rPr>
                                        <w:rFonts w:asciiTheme="majorHAnsi" w:hAnsiTheme="majorHAnsi"/>
                                        <w:noProof/>
                                        <w:color w:val="4F81BD" w:themeColor="accent1"/>
                                        <w:sz w:val="50"/>
                                        <w:szCs w:val="50"/>
                                      </w:rPr>
                                      <w:t>ΕΤΗΣΙΑ ΕΚΘΕΣΗ ΕΓΓΕΓΡΑΜΜΕΝΗΣ ΑΝΕΡΓΙΑΣ</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1D7AF9" w:rsidRPr="001D7AF9" w:rsidRDefault="001D7AF9">
                                    <w:pPr>
                                      <w:rPr>
                                        <w:rFonts w:asciiTheme="majorHAnsi" w:hAnsiTheme="majorHAnsi"/>
                                        <w:noProof/>
                                        <w:color w:val="1F497D" w:themeColor="text2"/>
                                        <w:sz w:val="32"/>
                                        <w:szCs w:val="40"/>
                                      </w:rPr>
                                    </w:pPr>
                                    <w:r>
                                      <w:rPr>
                                        <w:rFonts w:asciiTheme="majorHAnsi" w:hAnsiTheme="majorHAnsi"/>
                                        <w:noProof/>
                                        <w:color w:val="1F497D" w:themeColor="text2"/>
                                        <w:sz w:val="32"/>
                                        <w:szCs w:val="40"/>
                                      </w:rPr>
                                      <w:t>ΚΑΙ ΕΤΗΣΙΑ ΣΤΑΤΙΣΤΙΚΑ ΣΤΟΙΧΕΙΑ</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25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" filled="f" stroked="f" strokeweight=".5pt">
                    <v:textbox>
                      <w:txbxContent>
                        <w:sdt>
                          <w:sdtPr>
                            <w:rPr>
                              <w:rFonts w:asciiTheme="majorHAnsi" w:hAnsiTheme="majorHAnsi"/>
                              <w:noProof/>
                              <w:color w:val="4F81BD" w:themeColor="accent1"/>
                              <w:sz w:val="50"/>
                              <w:szCs w:val="50"/>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1D7AF9" w:rsidRPr="001D7AF9" w:rsidRDefault="001D7AF9">
                              <w:pPr>
                                <w:rPr>
                                  <w:rFonts w:asciiTheme="majorHAnsi" w:hAnsiTheme="majorHAnsi"/>
                                  <w:noProof/>
                                  <w:color w:val="4F81BD" w:themeColor="accent1"/>
                                  <w:sz w:val="72"/>
                                  <w:szCs w:val="144"/>
                                </w:rPr>
                              </w:pPr>
                              <w:r w:rsidRPr="001D7AF9">
                                <w:rPr>
                                  <w:rFonts w:asciiTheme="majorHAnsi" w:hAnsiTheme="majorHAnsi"/>
                                  <w:noProof/>
                                  <w:color w:val="4F81BD" w:themeColor="accent1"/>
                                  <w:sz w:val="50"/>
                                  <w:szCs w:val="50"/>
                                </w:rPr>
                                <w:t>ΕΤΗΣΙΑ ΕΚΘΕΣΗ ΕΓΓΕΓΡΑΜΜΕΝΗΣ ΑΝΕΡΓΙΑΣ</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1D7AF9" w:rsidRPr="001D7AF9" w:rsidRDefault="001D7AF9">
                              <w:pPr>
                                <w:rPr>
                                  <w:rFonts w:asciiTheme="majorHAnsi" w:hAnsiTheme="majorHAnsi"/>
                                  <w:noProof/>
                                  <w:color w:val="1F497D" w:themeColor="text2"/>
                                  <w:sz w:val="32"/>
                                  <w:szCs w:val="40"/>
                                </w:rPr>
                              </w:pPr>
                              <w:r>
                                <w:rPr>
                                  <w:rFonts w:asciiTheme="majorHAnsi" w:hAnsiTheme="majorHAnsi"/>
                                  <w:noProof/>
                                  <w:color w:val="1F497D" w:themeColor="text2"/>
                                  <w:sz w:val="32"/>
                                  <w:szCs w:val="40"/>
                                </w:rPr>
                                <w:t>ΚΑΙ ΕΤΗΣΙΑ ΣΤΑΤΙΣΤΙΚΑ ΣΤΟΙΧΕΙΑ</w:t>
                              </w:r>
                            </w:p>
                          </w:sdtContent>
                        </w:sdt>
                      </w:txbxContent>
                    </v:textbox>
                    <w10:wrap type="square" anchorx="page" anchory="page"/>
                  </v:shape>
                </w:pict>
              </mc:Fallback>
            </mc:AlternateContent>
          </w:r>
          <w:r w:rsidR="001D7AF9">
            <w:rPr>
              <w:noProof/>
              <w:lang w:val="en-US"/>
            </w:rPr>
            <mc:AlternateContent>
              <mc:Choice Requires="wps">
                <w:drawing>
                  <wp:anchor distT="0" distB="0" distL="114300" distR="114300" simplePos="0" relativeHeight="251664384" behindDoc="0" locked="0" layoutInCell="1" allowOverlap="1" wp14:anchorId="018C0BFC" wp14:editId="74B4672F">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7047230</wp:posOffset>
                    </wp:positionV>
                    <wp:extent cx="2686050" cy="168275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686050" cy="1682750"/>
                            </a:xfrm>
                            <a:prstGeom prst="rect">
                              <a:avLst/>
                            </a:prstGeom>
                            <a:noFill/>
                            <a:ln w="6350">
                              <a:noFill/>
                            </a:ln>
                            <a:effectLst/>
                          </wps:spPr>
                          <wps:txbx>
                            <w:txbxContent>
                              <w:p w:rsidR="001D7AF9" w:rsidRPr="00B55EF6" w:rsidRDefault="001D7AF9">
                                <w:pPr>
                                  <w:pStyle w:val="NoSpacing"/>
                                  <w:rPr>
                                    <w:b/>
                                    <w:noProof/>
                                    <w:color w:val="1F497D" w:themeColor="text2"/>
                                    <w:lang w:val="el-GR"/>
                                  </w:rPr>
                                </w:pPr>
                                <w:r w:rsidRPr="00B55EF6">
                                  <w:rPr>
                                    <w:b/>
                                    <w:noProof/>
                                    <w:color w:val="1F497D" w:themeColor="text2"/>
                                    <w:lang w:val="el-GR"/>
                                  </w:rPr>
                                  <w:t>ΠΑΡΑΤΗΡΗΤΗΡΙΟ ΑΓΟΡΑΣ ΕΡΓΑΣΙΑΣ</w:t>
                                </w:r>
                              </w:p>
                              <w:p w:rsidR="001D7AF9" w:rsidRDefault="001D7AF9">
                                <w:pPr>
                                  <w:pStyle w:val="NoSpacing"/>
                                  <w:rPr>
                                    <w:b/>
                                    <w:noProof/>
                                    <w:color w:val="1F497D" w:themeColor="text2"/>
                                    <w:lang w:val="el-GR"/>
                                  </w:rPr>
                                </w:pPr>
                                <w:r w:rsidRPr="00B55EF6">
                                  <w:rPr>
                                    <w:b/>
                                    <w:noProof/>
                                    <w:color w:val="1F497D" w:themeColor="text2"/>
                                    <w:lang w:val="el-GR"/>
                                  </w:rPr>
                                  <w:t>ΤΜΗΜΑ ΕΡΓΑΣΙΑΣ</w:t>
                                </w:r>
                              </w:p>
                              <w:p w:rsidR="00B55EF6" w:rsidRDefault="00B55EF6">
                                <w:pPr>
                                  <w:pStyle w:val="NoSpacing"/>
                                  <w:rPr>
                                    <w:b/>
                                    <w:noProof/>
                                    <w:color w:val="1F497D" w:themeColor="text2"/>
                                    <w:lang w:val="el-GR"/>
                                  </w:rPr>
                                </w:pPr>
                              </w:p>
                              <w:p w:rsidR="00B55EF6" w:rsidRPr="00B55EF6" w:rsidRDefault="00B55EF6">
                                <w:pPr>
                                  <w:pStyle w:val="NoSpacing"/>
                                  <w:rPr>
                                    <w:b/>
                                    <w:noProof/>
                                    <w:color w:val="1F497D" w:themeColor="text2"/>
                                    <w:lang w:val="el-GR"/>
                                  </w:rPr>
                                </w:pPr>
                              </w:p>
                              <w:p w:rsidR="001D7AF9" w:rsidRPr="00B55EF6" w:rsidRDefault="001D7AF9">
                                <w:pPr>
                                  <w:pStyle w:val="NoSpacing"/>
                                  <w:rPr>
                                    <w:b/>
                                    <w:noProof/>
                                    <w:color w:val="1F497D" w:themeColor="text2"/>
                                    <w:lang w:val="el-GR"/>
                                  </w:rPr>
                                </w:pPr>
                                <w:r w:rsidRPr="00B55EF6">
                                  <w:rPr>
                                    <w:b/>
                                    <w:noProof/>
                                    <w:color w:val="1F497D" w:themeColor="text2"/>
                                    <w:lang w:val="el-GR"/>
                                  </w:rPr>
                                  <w:t xml:space="preserve">Υπουργείο Εργασίας, Πρόνοιας και </w:t>
                                </w:r>
                                <w:r w:rsidR="00B55EF6" w:rsidRPr="00B55EF6">
                                  <w:rPr>
                                    <w:b/>
                                    <w:noProof/>
                                    <w:color w:val="1F497D" w:themeColor="text2"/>
                                    <w:lang w:val="el-GR"/>
                                  </w:rPr>
                                  <w:t>Κοινωνικών Ασφαλίσεων</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 o:spid="_x0000_s1029" type="#_x0000_t202" style="position:absolute;margin-left:0;margin-top:554.9pt;width:211.5pt;height:132.5pt;z-index:251664384;visibility:visible;mso-wrap-style:square;mso-width-percent:0;mso-height-percent:0;mso-left-percent:455;mso-wrap-distance-left:9pt;mso-wrap-distance-top:0;mso-wrap-distance-right:9pt;mso-wrap-distance-bottom:0;mso-position-horizontal-relative:page;mso-position-vertical:absolute;mso-position-vertical-relative:page;mso-width-percent: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" filled="f" stroked="f" strokeweight=".5pt">
                    <v:textbox>
                      <w:txbxContent>
                        <w:p w:rsidR="001D7AF9" w:rsidRPr="00B55EF6" w:rsidRDefault="001D7AF9">
                          <w:pPr>
                            <w:pStyle w:val="NoSpacing"/>
                            <w:rPr>
                              <w:b/>
                              <w:noProof/>
                              <w:color w:val="1F497D" w:themeColor="text2"/>
                              <w:lang w:val="el-GR"/>
                            </w:rPr>
                          </w:pPr>
                          <w:r w:rsidRPr="00B55EF6">
                            <w:rPr>
                              <w:b/>
                              <w:noProof/>
                              <w:color w:val="1F497D" w:themeColor="text2"/>
                              <w:lang w:val="el-GR"/>
                            </w:rPr>
                            <w:t>ΠΑΡΑΤΗΡΗΤΗΡΙΟ ΑΓΟΡΑΣ ΕΡΓΑΣΙΑΣ</w:t>
                          </w:r>
                        </w:p>
                        <w:p w:rsidR="001D7AF9" w:rsidRDefault="001D7AF9">
                          <w:pPr>
                            <w:pStyle w:val="NoSpacing"/>
                            <w:rPr>
                              <w:b/>
                              <w:noProof/>
                              <w:color w:val="1F497D" w:themeColor="text2"/>
                              <w:lang w:val="el-GR"/>
                            </w:rPr>
                          </w:pPr>
                          <w:r w:rsidRPr="00B55EF6">
                            <w:rPr>
                              <w:b/>
                              <w:noProof/>
                              <w:color w:val="1F497D" w:themeColor="text2"/>
                              <w:lang w:val="el-GR"/>
                            </w:rPr>
                            <w:t>ΤΜΗΜΑ ΕΡΓΑΣΙΑΣ</w:t>
                          </w:r>
                        </w:p>
                        <w:p w:rsidR="00B55EF6" w:rsidRDefault="00B55EF6">
                          <w:pPr>
                            <w:pStyle w:val="NoSpacing"/>
                            <w:rPr>
                              <w:b/>
                              <w:noProof/>
                              <w:color w:val="1F497D" w:themeColor="text2"/>
                              <w:lang w:val="el-GR"/>
                            </w:rPr>
                          </w:pPr>
                        </w:p>
                        <w:p w:rsidR="00B55EF6" w:rsidRPr="00B55EF6" w:rsidRDefault="00B55EF6">
                          <w:pPr>
                            <w:pStyle w:val="NoSpacing"/>
                            <w:rPr>
                              <w:b/>
                              <w:noProof/>
                              <w:color w:val="1F497D" w:themeColor="text2"/>
                              <w:lang w:val="el-GR"/>
                            </w:rPr>
                          </w:pPr>
                        </w:p>
                        <w:p w:rsidR="001D7AF9" w:rsidRPr="00B55EF6" w:rsidRDefault="001D7AF9">
                          <w:pPr>
                            <w:pStyle w:val="NoSpacing"/>
                            <w:rPr>
                              <w:b/>
                              <w:noProof/>
                              <w:color w:val="1F497D" w:themeColor="text2"/>
                              <w:lang w:val="el-GR"/>
                            </w:rPr>
                          </w:pPr>
                          <w:r w:rsidRPr="00B55EF6">
                            <w:rPr>
                              <w:b/>
                              <w:noProof/>
                              <w:color w:val="1F497D" w:themeColor="text2"/>
                              <w:lang w:val="el-GR"/>
                            </w:rPr>
                            <w:t xml:space="preserve">Υπουργείο Εργασίας, Πρόνοιας και </w:t>
                          </w:r>
                          <w:r w:rsidR="00B55EF6" w:rsidRPr="00B55EF6">
                            <w:rPr>
                              <w:b/>
                              <w:noProof/>
                              <w:color w:val="1F497D" w:themeColor="text2"/>
                              <w:lang w:val="el-GR"/>
                            </w:rPr>
                            <w:t>Κοινωνικών Ασφαλίσεων</w:t>
                          </w:r>
                        </w:p>
                      </w:txbxContent>
                    </v:textbox>
                    <w10:wrap type="square" anchorx="page" anchory="page"/>
                  </v:shape>
                </w:pict>
              </mc:Fallback>
            </mc:AlternateContent>
          </w:r>
          <w:r w:rsidR="001D7AF9">
            <w:rPr>
              <w:rFonts w:asciiTheme="majorHAnsi" w:eastAsiaTheme="majorEastAsia" w:hAnsiTheme="majorHAnsi" w:cstheme="majorBidi"/>
              <w:sz w:val="76"/>
              <w:szCs w:val="72"/>
              <w:lang w:val="en-US" w:eastAsia="ja-JP"/>
            </w:rPr>
            <w:br w:type="page"/>
          </w:r>
        </w:p>
      </w:sdtContent>
    </w:sdt>
    <w:p w:rsidR="008843F0" w:rsidRDefault="008843F0" w:rsidP="00311B33">
      <w:pPr>
        <w:spacing w:after="0"/>
        <w:ind w:left="567" w:hanging="567"/>
        <w:contextualSpacing/>
        <w:jc w:val="both"/>
        <w:rPr>
          <w:rFonts w:eastAsia="Calibri" w:cs="Arial"/>
          <w:b/>
          <w:sz w:val="24"/>
          <w:szCs w:val="24"/>
          <w:u w:val="single"/>
        </w:rPr>
      </w:pPr>
    </w:p>
    <w:p w:rsidR="008843F0" w:rsidRDefault="008843F0" w:rsidP="00311B33">
      <w:pPr>
        <w:spacing w:after="0"/>
        <w:ind w:left="567" w:hanging="567"/>
        <w:contextualSpacing/>
        <w:jc w:val="both"/>
        <w:rPr>
          <w:rFonts w:eastAsia="Calibri" w:cs="Arial"/>
          <w:b/>
          <w:sz w:val="24"/>
          <w:szCs w:val="24"/>
          <w:u w:val="single"/>
        </w:rPr>
      </w:pPr>
    </w:p>
    <w:p w:rsidR="008843F0" w:rsidRPr="00DA4A7C" w:rsidRDefault="00F412F6" w:rsidP="00DA4A7C">
      <w:pPr>
        <w:pBdr>
          <w:top w:val="single" w:sz="4" w:space="1" w:color="auto"/>
          <w:left w:val="single" w:sz="4" w:space="4" w:color="auto"/>
          <w:bottom w:val="single" w:sz="4" w:space="1" w:color="auto"/>
          <w:right w:val="single" w:sz="4" w:space="4" w:color="auto"/>
        </w:pBdr>
        <w:rPr>
          <w:rFonts w:eastAsia="Calibri" w:cs="Arial"/>
          <w:b/>
          <w:color w:val="0070C0"/>
          <w:sz w:val="28"/>
          <w:szCs w:val="28"/>
          <w:u w:val="single"/>
        </w:rPr>
      </w:pPr>
      <w:r w:rsidRPr="00DA4A7C">
        <w:rPr>
          <w:rFonts w:eastAsia="Calibri" w:cs="Arial"/>
          <w:b/>
          <w:color w:val="0070C0"/>
          <w:sz w:val="28"/>
          <w:szCs w:val="28"/>
          <w:u w:val="single"/>
        </w:rPr>
        <w:t xml:space="preserve">ΜΕΡΟΣ Α΄: </w:t>
      </w:r>
      <w:r w:rsidR="008843F0" w:rsidRPr="00DA4A7C">
        <w:rPr>
          <w:rFonts w:eastAsia="Calibri" w:cs="Arial"/>
          <w:b/>
          <w:color w:val="0070C0"/>
          <w:sz w:val="28"/>
          <w:szCs w:val="28"/>
          <w:u w:val="single"/>
        </w:rPr>
        <w:t>ΕΤΗΣΙΑ ΕΚΘΕΣΗ ΕΓΓΕΓΡΑΜΜΕΝΗΣ ΑΝΕΡΓΙΑΣ 2018</w:t>
      </w:r>
    </w:p>
    <w:p w:rsidR="008843F0" w:rsidRPr="008843F0" w:rsidRDefault="008843F0" w:rsidP="008843F0">
      <w:pPr>
        <w:rPr>
          <w:rFonts w:eastAsia="Calibri" w:cs="Arial"/>
          <w:b/>
          <w:sz w:val="24"/>
          <w:szCs w:val="24"/>
          <w:u w:val="single"/>
        </w:rPr>
      </w:pPr>
    </w:p>
    <w:p w:rsidR="008843F0" w:rsidRDefault="008843F0" w:rsidP="008843F0">
      <w:pPr>
        <w:rPr>
          <w:rFonts w:eastAsia="Calibri" w:cs="Arial"/>
          <w:b/>
          <w:sz w:val="26"/>
          <w:szCs w:val="26"/>
          <w:u w:val="single"/>
        </w:rPr>
      </w:pPr>
      <w:r w:rsidRPr="009B7BBA">
        <w:rPr>
          <w:rFonts w:eastAsia="Calibri" w:cs="Arial"/>
          <w:b/>
          <w:sz w:val="26"/>
          <w:szCs w:val="26"/>
          <w:u w:val="single"/>
        </w:rPr>
        <w:t>ΠΕΡΙΕΧΟΜΕΝΑ</w:t>
      </w:r>
    </w:p>
    <w:p w:rsidR="009B7BBA" w:rsidRPr="009B7BBA" w:rsidRDefault="009B7BBA" w:rsidP="008843F0">
      <w:pPr>
        <w:rPr>
          <w:rFonts w:eastAsia="Calibri" w:cs="Arial"/>
          <w:b/>
          <w:sz w:val="26"/>
          <w:szCs w:val="26"/>
          <w:u w:val="single"/>
        </w:rPr>
      </w:pPr>
    </w:p>
    <w:p w:rsidR="008843F0" w:rsidRPr="009B7BBA" w:rsidRDefault="008843F0" w:rsidP="008843F0">
      <w:pPr>
        <w:pStyle w:val="ListParagraph"/>
        <w:numPr>
          <w:ilvl w:val="0"/>
          <w:numId w:val="2"/>
        </w:numPr>
        <w:spacing w:line="276" w:lineRule="auto"/>
        <w:rPr>
          <w:rFonts w:asciiTheme="minorHAnsi" w:eastAsia="Calibri" w:hAnsiTheme="minorHAnsi" w:cs="Arial"/>
          <w:sz w:val="26"/>
          <w:szCs w:val="26"/>
          <w:lang w:val="el-GR"/>
        </w:rPr>
      </w:pPr>
      <w:r w:rsidRPr="009B7BBA">
        <w:rPr>
          <w:rFonts w:asciiTheme="minorHAnsi" w:eastAsia="Calibri" w:hAnsiTheme="minorHAnsi" w:cs="Arial"/>
          <w:sz w:val="26"/>
          <w:szCs w:val="26"/>
          <w:lang w:val="el-GR"/>
        </w:rPr>
        <w:t xml:space="preserve">Παρακολούθηση </w:t>
      </w:r>
      <w:r w:rsidR="001326CC">
        <w:rPr>
          <w:rFonts w:asciiTheme="minorHAnsi" w:eastAsia="Calibri" w:hAnsiTheme="minorHAnsi" w:cs="Arial"/>
          <w:sz w:val="26"/>
          <w:szCs w:val="26"/>
          <w:lang w:val="el-GR"/>
        </w:rPr>
        <w:t>Ε</w:t>
      </w:r>
      <w:r w:rsidRPr="009B7BBA">
        <w:rPr>
          <w:rFonts w:asciiTheme="minorHAnsi" w:eastAsia="Calibri" w:hAnsiTheme="minorHAnsi" w:cs="Arial"/>
          <w:sz w:val="26"/>
          <w:szCs w:val="26"/>
          <w:lang w:val="el-GR"/>
        </w:rPr>
        <w:t>ξελίξεων στην Αγορά Εργασίας……</w:t>
      </w:r>
      <w:r w:rsidR="00444484">
        <w:rPr>
          <w:rFonts w:asciiTheme="minorHAnsi" w:eastAsia="Calibri" w:hAnsiTheme="minorHAnsi" w:cs="Arial"/>
          <w:sz w:val="26"/>
          <w:szCs w:val="26"/>
          <w:lang w:val="el-GR"/>
        </w:rPr>
        <w:t>……</w:t>
      </w:r>
      <w:r w:rsidRPr="009B7BBA">
        <w:rPr>
          <w:rFonts w:asciiTheme="minorHAnsi" w:eastAsia="Calibri" w:hAnsiTheme="minorHAnsi" w:cs="Arial"/>
          <w:sz w:val="26"/>
          <w:szCs w:val="26"/>
          <w:lang w:val="el-GR"/>
        </w:rPr>
        <w:t>……………</w:t>
      </w:r>
      <w:r w:rsidR="00444484">
        <w:rPr>
          <w:rFonts w:asciiTheme="minorHAnsi" w:eastAsia="Calibri" w:hAnsiTheme="minorHAnsi" w:cs="Arial"/>
          <w:sz w:val="26"/>
          <w:szCs w:val="26"/>
          <w:lang w:val="el-GR"/>
        </w:rPr>
        <w:t>.</w:t>
      </w:r>
      <w:r w:rsidRPr="009B7BBA">
        <w:rPr>
          <w:rFonts w:asciiTheme="minorHAnsi" w:eastAsia="Calibri" w:hAnsiTheme="minorHAnsi" w:cs="Arial"/>
          <w:sz w:val="26"/>
          <w:szCs w:val="26"/>
          <w:lang w:val="el-GR"/>
        </w:rPr>
        <w:t>…2</w:t>
      </w:r>
    </w:p>
    <w:p w:rsidR="008843F0" w:rsidRPr="009B7BBA" w:rsidRDefault="008843F0" w:rsidP="008843F0">
      <w:pPr>
        <w:pStyle w:val="ListParagraph"/>
        <w:spacing w:line="276" w:lineRule="auto"/>
        <w:rPr>
          <w:rFonts w:asciiTheme="minorHAnsi" w:eastAsia="Calibri" w:hAnsiTheme="minorHAnsi" w:cs="Arial"/>
          <w:sz w:val="26"/>
          <w:szCs w:val="26"/>
          <w:lang w:val="el-GR"/>
        </w:rPr>
      </w:pPr>
    </w:p>
    <w:p w:rsidR="008843F0" w:rsidRPr="009B7BBA" w:rsidRDefault="008843F0" w:rsidP="008843F0">
      <w:pPr>
        <w:pStyle w:val="ListParagraph"/>
        <w:numPr>
          <w:ilvl w:val="0"/>
          <w:numId w:val="2"/>
        </w:numPr>
        <w:spacing w:line="276" w:lineRule="auto"/>
        <w:rPr>
          <w:rFonts w:asciiTheme="minorHAnsi" w:eastAsia="Calibri" w:hAnsiTheme="minorHAnsi" w:cs="Arial"/>
          <w:sz w:val="26"/>
          <w:szCs w:val="26"/>
          <w:lang w:val="el-GR"/>
        </w:rPr>
      </w:pPr>
      <w:r w:rsidRPr="009B7BBA">
        <w:rPr>
          <w:rFonts w:asciiTheme="minorHAnsi" w:eastAsia="Calibri" w:hAnsiTheme="minorHAnsi" w:cs="Arial"/>
          <w:sz w:val="26"/>
          <w:szCs w:val="26"/>
          <w:lang w:val="el-GR"/>
        </w:rPr>
        <w:t xml:space="preserve">Ανάλυση </w:t>
      </w:r>
      <w:r w:rsidR="001326CC">
        <w:rPr>
          <w:rFonts w:asciiTheme="minorHAnsi" w:eastAsia="Calibri" w:hAnsiTheme="minorHAnsi" w:cs="Arial"/>
          <w:sz w:val="26"/>
          <w:szCs w:val="26"/>
          <w:lang w:val="el-GR"/>
        </w:rPr>
        <w:t>Ε</w:t>
      </w:r>
      <w:r w:rsidR="00E8050F" w:rsidRPr="009B7BBA">
        <w:rPr>
          <w:rFonts w:asciiTheme="minorHAnsi" w:eastAsia="Calibri" w:hAnsiTheme="minorHAnsi" w:cs="Arial"/>
          <w:sz w:val="26"/>
          <w:szCs w:val="26"/>
          <w:lang w:val="el-GR"/>
        </w:rPr>
        <w:t xml:space="preserve">τήσιων </w:t>
      </w:r>
      <w:r w:rsidR="00444484">
        <w:rPr>
          <w:rFonts w:asciiTheme="minorHAnsi" w:eastAsia="Calibri" w:hAnsiTheme="minorHAnsi" w:cs="Arial"/>
          <w:sz w:val="26"/>
          <w:szCs w:val="26"/>
          <w:lang w:val="el-GR"/>
        </w:rPr>
        <w:t>Στατιστικών Σ</w:t>
      </w:r>
      <w:r w:rsidRPr="009B7BBA">
        <w:rPr>
          <w:rFonts w:asciiTheme="minorHAnsi" w:eastAsia="Calibri" w:hAnsiTheme="minorHAnsi" w:cs="Arial"/>
          <w:sz w:val="26"/>
          <w:szCs w:val="26"/>
          <w:lang w:val="el-GR"/>
        </w:rPr>
        <w:t xml:space="preserve">τοιχείων </w:t>
      </w:r>
      <w:r w:rsidR="00444484">
        <w:rPr>
          <w:rFonts w:asciiTheme="minorHAnsi" w:eastAsia="Calibri" w:hAnsiTheme="minorHAnsi" w:cs="Arial"/>
          <w:sz w:val="26"/>
          <w:szCs w:val="26"/>
          <w:lang w:val="el-GR"/>
        </w:rPr>
        <w:t>Ε</w:t>
      </w:r>
      <w:r w:rsidRPr="009B7BBA">
        <w:rPr>
          <w:rFonts w:asciiTheme="minorHAnsi" w:eastAsia="Calibri" w:hAnsiTheme="minorHAnsi" w:cs="Arial"/>
          <w:sz w:val="26"/>
          <w:szCs w:val="26"/>
          <w:lang w:val="el-GR"/>
        </w:rPr>
        <w:t xml:space="preserve">γγεγραμμένης </w:t>
      </w:r>
      <w:r w:rsidR="00444484">
        <w:rPr>
          <w:rFonts w:asciiTheme="minorHAnsi" w:eastAsia="Calibri" w:hAnsiTheme="minorHAnsi" w:cs="Arial"/>
          <w:sz w:val="26"/>
          <w:szCs w:val="26"/>
          <w:lang w:val="el-GR"/>
        </w:rPr>
        <w:t>Α</w:t>
      </w:r>
      <w:r w:rsidRPr="009B7BBA">
        <w:rPr>
          <w:rFonts w:asciiTheme="minorHAnsi" w:eastAsia="Calibri" w:hAnsiTheme="minorHAnsi" w:cs="Arial"/>
          <w:sz w:val="26"/>
          <w:szCs w:val="26"/>
          <w:lang w:val="el-GR"/>
        </w:rPr>
        <w:t>νεργίας</w:t>
      </w:r>
      <w:r w:rsidR="00444484">
        <w:rPr>
          <w:rFonts w:asciiTheme="minorHAnsi" w:eastAsia="Calibri" w:hAnsiTheme="minorHAnsi" w:cs="Arial"/>
          <w:sz w:val="26"/>
          <w:szCs w:val="26"/>
          <w:lang w:val="el-GR"/>
        </w:rPr>
        <w:t>……………………………………………………………………</w:t>
      </w:r>
      <w:r w:rsidRPr="009B7BBA">
        <w:rPr>
          <w:rFonts w:asciiTheme="minorHAnsi" w:eastAsia="Calibri" w:hAnsiTheme="minorHAnsi" w:cs="Arial"/>
          <w:sz w:val="26"/>
          <w:szCs w:val="26"/>
          <w:lang w:val="el-GR"/>
        </w:rPr>
        <w:t>……………………</w:t>
      </w:r>
      <w:r w:rsidR="00E8050F" w:rsidRPr="009B7BBA">
        <w:rPr>
          <w:rFonts w:asciiTheme="minorHAnsi" w:eastAsia="Calibri" w:hAnsiTheme="minorHAnsi" w:cs="Arial"/>
          <w:sz w:val="26"/>
          <w:szCs w:val="26"/>
          <w:lang w:val="el-GR"/>
        </w:rPr>
        <w:t>4</w:t>
      </w:r>
    </w:p>
    <w:p w:rsidR="008843F0" w:rsidRPr="009B7BBA" w:rsidRDefault="008843F0" w:rsidP="008843F0">
      <w:pPr>
        <w:pStyle w:val="ListParagraph"/>
        <w:spacing w:line="276" w:lineRule="auto"/>
        <w:rPr>
          <w:rFonts w:asciiTheme="minorHAnsi" w:eastAsia="Calibri" w:hAnsiTheme="minorHAnsi" w:cs="Arial"/>
          <w:sz w:val="26"/>
          <w:szCs w:val="26"/>
          <w:lang w:val="el-GR"/>
        </w:rPr>
      </w:pPr>
    </w:p>
    <w:p w:rsidR="008843F0" w:rsidRPr="009B7BBA" w:rsidRDefault="008843F0" w:rsidP="008843F0">
      <w:pPr>
        <w:pStyle w:val="ListParagraph"/>
        <w:spacing w:line="276" w:lineRule="auto"/>
        <w:rPr>
          <w:rFonts w:asciiTheme="minorHAnsi" w:eastAsia="Calibri" w:hAnsiTheme="minorHAnsi" w:cs="Arial"/>
          <w:sz w:val="26"/>
          <w:szCs w:val="26"/>
          <w:lang w:val="el-GR"/>
        </w:rPr>
      </w:pPr>
    </w:p>
    <w:p w:rsidR="008843F0" w:rsidRPr="009B7BBA" w:rsidRDefault="00444484" w:rsidP="008843F0">
      <w:pPr>
        <w:pStyle w:val="ListParagraph"/>
        <w:numPr>
          <w:ilvl w:val="0"/>
          <w:numId w:val="2"/>
        </w:numPr>
        <w:spacing w:line="276" w:lineRule="auto"/>
        <w:rPr>
          <w:rFonts w:asciiTheme="minorHAnsi" w:eastAsia="Calibri" w:hAnsiTheme="minorHAnsi" w:cs="Arial"/>
          <w:sz w:val="26"/>
          <w:szCs w:val="26"/>
          <w:lang w:val="el-GR"/>
        </w:rPr>
      </w:pPr>
      <w:r>
        <w:rPr>
          <w:rFonts w:asciiTheme="minorHAnsi" w:eastAsia="Calibri" w:hAnsiTheme="minorHAnsi" w:cs="Arial"/>
          <w:sz w:val="26"/>
          <w:szCs w:val="26"/>
          <w:lang w:val="el-GR"/>
        </w:rPr>
        <w:t>Θέσεις Ε</w:t>
      </w:r>
      <w:r w:rsidR="008843F0" w:rsidRPr="009B7BBA">
        <w:rPr>
          <w:rFonts w:asciiTheme="minorHAnsi" w:eastAsia="Calibri" w:hAnsiTheme="minorHAnsi" w:cs="Arial"/>
          <w:sz w:val="26"/>
          <w:szCs w:val="26"/>
          <w:lang w:val="el-GR"/>
        </w:rPr>
        <w:t>ργασίας</w:t>
      </w:r>
      <w:r>
        <w:rPr>
          <w:rFonts w:asciiTheme="minorHAnsi" w:eastAsia="Calibri" w:hAnsiTheme="minorHAnsi" w:cs="Arial"/>
          <w:sz w:val="26"/>
          <w:szCs w:val="26"/>
          <w:lang w:val="el-GR"/>
        </w:rPr>
        <w:t xml:space="preserve"> …………………………………………………………………………….6</w:t>
      </w:r>
    </w:p>
    <w:p w:rsidR="008843F0" w:rsidRPr="009B7BBA" w:rsidRDefault="008843F0" w:rsidP="008843F0">
      <w:pPr>
        <w:pStyle w:val="ListParagraph"/>
        <w:numPr>
          <w:ilvl w:val="0"/>
          <w:numId w:val="3"/>
        </w:numPr>
        <w:spacing w:line="276" w:lineRule="auto"/>
        <w:rPr>
          <w:rFonts w:asciiTheme="minorHAnsi" w:eastAsia="Calibri" w:hAnsiTheme="minorHAnsi" w:cs="Arial"/>
          <w:sz w:val="26"/>
          <w:szCs w:val="26"/>
          <w:lang w:val="el-GR"/>
        </w:rPr>
      </w:pPr>
      <w:r w:rsidRPr="009B7BBA">
        <w:rPr>
          <w:rFonts w:asciiTheme="minorHAnsi" w:eastAsia="Calibri" w:hAnsiTheme="minorHAnsi" w:cs="Arial"/>
          <w:sz w:val="26"/>
          <w:szCs w:val="26"/>
          <w:lang w:val="el-GR"/>
        </w:rPr>
        <w:t>Κοινοποιηθείσες</w:t>
      </w:r>
    </w:p>
    <w:p w:rsidR="008843F0" w:rsidRPr="009B7BBA" w:rsidRDefault="008843F0" w:rsidP="008843F0">
      <w:pPr>
        <w:pStyle w:val="ListParagraph"/>
        <w:numPr>
          <w:ilvl w:val="0"/>
          <w:numId w:val="3"/>
        </w:numPr>
        <w:spacing w:line="276" w:lineRule="auto"/>
        <w:rPr>
          <w:rFonts w:asciiTheme="minorHAnsi" w:eastAsia="Calibri" w:hAnsiTheme="minorHAnsi" w:cs="Arial"/>
          <w:sz w:val="26"/>
          <w:szCs w:val="26"/>
          <w:lang w:val="el-GR"/>
        </w:rPr>
      </w:pPr>
      <w:r w:rsidRPr="009B7BBA">
        <w:rPr>
          <w:rFonts w:asciiTheme="minorHAnsi" w:eastAsia="Calibri" w:hAnsiTheme="minorHAnsi" w:cs="Arial"/>
          <w:sz w:val="26"/>
          <w:szCs w:val="26"/>
          <w:lang w:val="el-GR"/>
        </w:rPr>
        <w:t>Ενεργές</w:t>
      </w:r>
    </w:p>
    <w:p w:rsidR="008843F0" w:rsidRPr="009B7BBA" w:rsidRDefault="008843F0" w:rsidP="008843F0">
      <w:pPr>
        <w:pStyle w:val="ListParagraph"/>
        <w:numPr>
          <w:ilvl w:val="0"/>
          <w:numId w:val="3"/>
        </w:numPr>
        <w:spacing w:line="276" w:lineRule="auto"/>
        <w:rPr>
          <w:rFonts w:asciiTheme="minorHAnsi" w:eastAsia="Calibri" w:hAnsiTheme="minorHAnsi" w:cs="Arial"/>
          <w:sz w:val="26"/>
          <w:szCs w:val="26"/>
          <w:lang w:val="el-GR"/>
        </w:rPr>
      </w:pPr>
      <w:r w:rsidRPr="009B7BBA">
        <w:rPr>
          <w:rFonts w:asciiTheme="minorHAnsi" w:eastAsia="Calibri" w:hAnsiTheme="minorHAnsi" w:cs="Arial"/>
          <w:sz w:val="26"/>
          <w:szCs w:val="26"/>
          <w:lang w:val="el-GR"/>
        </w:rPr>
        <w:t>Τερματισμένες</w:t>
      </w:r>
    </w:p>
    <w:p w:rsidR="008843F0" w:rsidRPr="009B7BBA" w:rsidRDefault="008843F0" w:rsidP="008843F0">
      <w:pPr>
        <w:rPr>
          <w:rFonts w:eastAsia="Calibri" w:cs="Arial"/>
          <w:sz w:val="26"/>
          <w:szCs w:val="26"/>
        </w:rPr>
      </w:pPr>
    </w:p>
    <w:p w:rsidR="008843F0" w:rsidRPr="00444484" w:rsidRDefault="008843F0" w:rsidP="008843F0">
      <w:pPr>
        <w:pStyle w:val="ListParagraph"/>
        <w:numPr>
          <w:ilvl w:val="0"/>
          <w:numId w:val="2"/>
        </w:numPr>
        <w:spacing w:line="276" w:lineRule="auto"/>
        <w:rPr>
          <w:rFonts w:asciiTheme="minorHAnsi" w:eastAsia="Calibri" w:hAnsiTheme="minorHAnsi" w:cs="Arial"/>
          <w:sz w:val="26"/>
          <w:szCs w:val="26"/>
          <w:lang w:val="el-GR"/>
        </w:rPr>
      </w:pPr>
      <w:r w:rsidRPr="009B7BBA">
        <w:rPr>
          <w:rFonts w:asciiTheme="minorHAnsi" w:eastAsia="Calibri" w:hAnsiTheme="minorHAnsi" w:cs="Arial"/>
          <w:sz w:val="26"/>
          <w:szCs w:val="26"/>
          <w:lang w:val="el-GR"/>
        </w:rPr>
        <w:t>Τοποθετήσεις</w:t>
      </w:r>
      <w:r w:rsidR="00444484">
        <w:rPr>
          <w:rFonts w:asciiTheme="minorHAnsi" w:eastAsia="Calibri" w:hAnsiTheme="minorHAnsi" w:cs="Arial"/>
          <w:sz w:val="26"/>
          <w:szCs w:val="26"/>
          <w:lang w:val="el-GR"/>
        </w:rPr>
        <w:t>……………………………………………………………………….………..</w:t>
      </w:r>
      <w:r w:rsidR="003B5E2D">
        <w:rPr>
          <w:rFonts w:asciiTheme="minorHAnsi" w:eastAsia="Calibri" w:hAnsiTheme="minorHAnsi" w:cs="Arial"/>
          <w:sz w:val="26"/>
          <w:szCs w:val="26"/>
          <w:lang w:val="el-GR"/>
        </w:rPr>
        <w:t>7</w:t>
      </w:r>
    </w:p>
    <w:p w:rsidR="008843F0" w:rsidRPr="009B7BBA" w:rsidRDefault="008843F0" w:rsidP="008843F0">
      <w:pPr>
        <w:rPr>
          <w:rFonts w:eastAsia="Calibri" w:cs="Arial"/>
          <w:sz w:val="26"/>
          <w:szCs w:val="26"/>
          <w:u w:val="single"/>
        </w:rPr>
      </w:pPr>
      <w:r w:rsidRPr="009B7BBA">
        <w:rPr>
          <w:rFonts w:eastAsia="Calibri" w:cs="Arial"/>
          <w:sz w:val="26"/>
          <w:szCs w:val="26"/>
          <w:u w:val="single"/>
        </w:rPr>
        <w:br w:type="page"/>
      </w:r>
    </w:p>
    <w:p w:rsidR="00DC2971" w:rsidRPr="003B5E2D" w:rsidRDefault="00DC2971" w:rsidP="009B7BBA">
      <w:pPr>
        <w:pStyle w:val="ListParagraph"/>
        <w:numPr>
          <w:ilvl w:val="0"/>
          <w:numId w:val="5"/>
        </w:numPr>
        <w:contextualSpacing/>
        <w:jc w:val="both"/>
        <w:rPr>
          <w:rFonts w:ascii="Calibri" w:eastAsia="Calibri" w:hAnsi="Calibri" w:cs="Arial"/>
          <w:sz w:val="26"/>
          <w:szCs w:val="26"/>
          <w:u w:color="FF0000"/>
          <w:lang w:val="el-GR"/>
        </w:rPr>
      </w:pPr>
      <w:r w:rsidRPr="003B5E2D">
        <w:rPr>
          <w:rFonts w:ascii="Calibri" w:eastAsia="Calibri" w:hAnsi="Calibri" w:cs="Arial"/>
          <w:sz w:val="26"/>
          <w:szCs w:val="26"/>
          <w:u w:color="FF0000"/>
          <w:lang w:val="el-GR"/>
        </w:rPr>
        <w:lastRenderedPageBreak/>
        <w:t>Παρακολούθηση</w:t>
      </w:r>
      <w:r w:rsidR="00556546" w:rsidRPr="003B5E2D">
        <w:rPr>
          <w:rFonts w:ascii="Calibri" w:eastAsia="Calibri" w:hAnsi="Calibri" w:cs="Arial"/>
          <w:sz w:val="26"/>
          <w:szCs w:val="26"/>
          <w:u w:color="FF0000"/>
          <w:lang w:val="el-GR"/>
        </w:rPr>
        <w:t xml:space="preserve"> </w:t>
      </w:r>
      <w:r w:rsidR="00311B33" w:rsidRPr="003B5E2D">
        <w:rPr>
          <w:rFonts w:ascii="Calibri" w:eastAsia="Calibri" w:hAnsi="Calibri" w:cs="Arial"/>
          <w:sz w:val="26"/>
          <w:szCs w:val="26"/>
          <w:u w:color="FF0000"/>
          <w:lang w:val="el-GR"/>
        </w:rPr>
        <w:t>Εξελίξεων στην Αγορά Εργασίας</w:t>
      </w:r>
      <w:r w:rsidR="009543B0" w:rsidRPr="003B5E2D">
        <w:rPr>
          <w:rStyle w:val="FootnoteReference"/>
          <w:rFonts w:ascii="Calibri" w:eastAsia="Calibri" w:hAnsi="Calibri" w:cs="Arial"/>
          <w:b w:val="0"/>
          <w:sz w:val="26"/>
          <w:szCs w:val="26"/>
          <w:u w:color="FF0000"/>
        </w:rPr>
        <w:footnoteReference w:id="1"/>
      </w:r>
    </w:p>
    <w:p w:rsidR="00DC2971" w:rsidRPr="00311B33" w:rsidRDefault="00DC2971" w:rsidP="00311B33">
      <w:pPr>
        <w:spacing w:after="0"/>
        <w:jc w:val="both"/>
        <w:rPr>
          <w:rFonts w:eastAsia="Times New Roman" w:cs="Arial"/>
          <w:sz w:val="24"/>
          <w:szCs w:val="24"/>
        </w:rPr>
      </w:pPr>
    </w:p>
    <w:p w:rsidR="00DC2971" w:rsidRPr="00311B33" w:rsidRDefault="00556546" w:rsidP="00311B33">
      <w:pPr>
        <w:spacing w:after="0"/>
        <w:contextualSpacing/>
        <w:jc w:val="both"/>
        <w:rPr>
          <w:rFonts w:eastAsia="Calibri" w:cs="Arial"/>
          <w:bCs/>
          <w:sz w:val="24"/>
          <w:szCs w:val="24"/>
        </w:rPr>
      </w:pPr>
      <w:r w:rsidRPr="00311B33">
        <w:rPr>
          <w:rFonts w:eastAsia="Calibri" w:cs="Arial"/>
          <w:bCs/>
          <w:sz w:val="24"/>
          <w:szCs w:val="24"/>
        </w:rPr>
        <w:t>Η οικονομική πολιτική</w:t>
      </w:r>
      <w:r w:rsidR="00DD01B4" w:rsidRPr="00311B33">
        <w:rPr>
          <w:rFonts w:eastAsia="Calibri" w:cs="Arial"/>
          <w:bCs/>
          <w:sz w:val="24"/>
          <w:szCs w:val="24"/>
        </w:rPr>
        <w:t xml:space="preserve"> που ακολουθήθηκε τα </w:t>
      </w:r>
      <w:r w:rsidRPr="00311B33">
        <w:rPr>
          <w:rFonts w:eastAsia="Calibri" w:cs="Arial"/>
          <w:bCs/>
          <w:sz w:val="24"/>
          <w:szCs w:val="24"/>
        </w:rPr>
        <w:t>τελευταί</w:t>
      </w:r>
      <w:r w:rsidR="00DD01B4" w:rsidRPr="00311B33">
        <w:rPr>
          <w:rFonts w:eastAsia="Calibri" w:cs="Arial"/>
          <w:bCs/>
          <w:sz w:val="24"/>
          <w:szCs w:val="24"/>
        </w:rPr>
        <w:t>α</w:t>
      </w:r>
      <w:r w:rsidRPr="00311B33">
        <w:rPr>
          <w:rFonts w:eastAsia="Calibri" w:cs="Arial"/>
          <w:bCs/>
          <w:sz w:val="24"/>
          <w:szCs w:val="24"/>
        </w:rPr>
        <w:t xml:space="preserve"> χρόν</w:t>
      </w:r>
      <w:r w:rsidR="00DD01B4" w:rsidRPr="00311B33">
        <w:rPr>
          <w:rFonts w:eastAsia="Calibri" w:cs="Arial"/>
          <w:bCs/>
          <w:sz w:val="24"/>
          <w:szCs w:val="24"/>
        </w:rPr>
        <w:t>ια,</w:t>
      </w:r>
      <w:r w:rsidRPr="00311B33">
        <w:rPr>
          <w:rFonts w:eastAsia="Calibri" w:cs="Arial"/>
          <w:bCs/>
          <w:sz w:val="24"/>
          <w:szCs w:val="24"/>
        </w:rPr>
        <w:t xml:space="preserve"> </w:t>
      </w:r>
      <w:r w:rsidR="00DD01B4" w:rsidRPr="00311B33">
        <w:rPr>
          <w:rFonts w:eastAsia="Calibri" w:cs="Arial"/>
          <w:bCs/>
          <w:sz w:val="24"/>
          <w:szCs w:val="24"/>
        </w:rPr>
        <w:t xml:space="preserve">ήταν μέρος μιας τεράστιας συλλογικής προσπάθειας που συντελέστηκε με ένα </w:t>
      </w:r>
      <w:r w:rsidR="00A02D28" w:rsidRPr="00311B33">
        <w:rPr>
          <w:rFonts w:eastAsia="Calibri" w:cs="Arial"/>
          <w:bCs/>
          <w:sz w:val="24"/>
          <w:szCs w:val="24"/>
        </w:rPr>
        <w:t>ευρύ φάσμα</w:t>
      </w:r>
      <w:r w:rsidR="00DD01B4" w:rsidRPr="00311B33">
        <w:rPr>
          <w:rFonts w:eastAsia="Calibri" w:cs="Arial"/>
          <w:bCs/>
          <w:sz w:val="24"/>
          <w:szCs w:val="24"/>
        </w:rPr>
        <w:t xml:space="preserve"> διαρθρωτικών μεταρρυθμίσεων και μέτρων πολιτικής που είχαν ως αποτέλεσμα την ανάκαμψη και  επαναδραστηριοποίηση της οικονομίας και την βελτίωση των οικονομικών</w:t>
      </w:r>
      <w:r w:rsidR="00DC2971" w:rsidRPr="00311B33">
        <w:rPr>
          <w:rFonts w:eastAsia="Calibri" w:cs="Arial"/>
          <w:bCs/>
          <w:sz w:val="24"/>
          <w:szCs w:val="24"/>
        </w:rPr>
        <w:t xml:space="preserve"> δεικτών. </w:t>
      </w:r>
    </w:p>
    <w:p w:rsidR="00A02D28" w:rsidRPr="00311B33" w:rsidRDefault="00A02D28" w:rsidP="00311B33">
      <w:pPr>
        <w:spacing w:after="0"/>
        <w:contextualSpacing/>
        <w:jc w:val="both"/>
        <w:rPr>
          <w:rFonts w:eastAsia="Calibri" w:cs="Arial"/>
          <w:bCs/>
          <w:sz w:val="24"/>
          <w:szCs w:val="24"/>
        </w:rPr>
      </w:pPr>
    </w:p>
    <w:p w:rsidR="00DD01B4" w:rsidRPr="00311B33" w:rsidRDefault="00DD01B4" w:rsidP="00311B33">
      <w:pPr>
        <w:spacing w:after="0"/>
        <w:contextualSpacing/>
        <w:jc w:val="both"/>
        <w:rPr>
          <w:rFonts w:eastAsia="Calibri" w:cs="Arial"/>
          <w:bCs/>
          <w:sz w:val="24"/>
          <w:szCs w:val="24"/>
        </w:rPr>
      </w:pPr>
      <w:r w:rsidRPr="00311B33">
        <w:rPr>
          <w:rFonts w:eastAsia="Calibri" w:cs="Arial"/>
          <w:bCs/>
          <w:sz w:val="24"/>
          <w:szCs w:val="24"/>
        </w:rPr>
        <w:t>Τα θετικά αποτελέσματα αποτυπώνονται στους ψηλούς θετικούς ρυθμούς ανάπτυξης της οικονομίας για τέταρτη συνεχή χρονιά, τη βελτίωση της αγοράς εργασίας και την επιστροφή της εμπιστοσύνης και της σταθερότητας στην κυπριακή οικονομία.</w:t>
      </w:r>
    </w:p>
    <w:p w:rsidR="00556546" w:rsidRPr="00311B33" w:rsidRDefault="00556546" w:rsidP="00311B33">
      <w:pPr>
        <w:spacing w:after="0"/>
        <w:contextualSpacing/>
        <w:jc w:val="both"/>
        <w:rPr>
          <w:rFonts w:eastAsia="Calibri" w:cs="Arial"/>
          <w:sz w:val="24"/>
          <w:szCs w:val="24"/>
        </w:rPr>
      </w:pPr>
    </w:p>
    <w:p w:rsidR="00A02D28" w:rsidRPr="00311B33" w:rsidRDefault="00A02D28" w:rsidP="000042AC">
      <w:pPr>
        <w:spacing w:after="0"/>
        <w:contextualSpacing/>
        <w:jc w:val="both"/>
        <w:rPr>
          <w:b/>
          <w:sz w:val="24"/>
          <w:szCs w:val="24"/>
          <w:u w:color="000000"/>
        </w:rPr>
      </w:pPr>
      <w:r w:rsidRPr="00311B33">
        <w:rPr>
          <w:rFonts w:eastAsia="Calibri" w:cs="Arial"/>
          <w:sz w:val="24"/>
          <w:szCs w:val="24"/>
        </w:rPr>
        <w:t>Όσον</w:t>
      </w:r>
      <w:r w:rsidR="00DD01B4" w:rsidRPr="00311B33">
        <w:rPr>
          <w:rFonts w:eastAsia="Calibri" w:cs="Arial"/>
          <w:sz w:val="24"/>
          <w:szCs w:val="24"/>
        </w:rPr>
        <w:t xml:space="preserve"> </w:t>
      </w:r>
      <w:r w:rsidRPr="00311B33">
        <w:rPr>
          <w:rFonts w:eastAsia="Calibri" w:cs="Arial"/>
          <w:sz w:val="24"/>
          <w:szCs w:val="24"/>
        </w:rPr>
        <w:t>αφορά την αγορά εργασίας και</w:t>
      </w:r>
      <w:r w:rsidR="00DC2971" w:rsidRPr="00311B33">
        <w:rPr>
          <w:rFonts w:eastAsia="Calibri" w:cs="Arial"/>
          <w:sz w:val="24"/>
          <w:szCs w:val="24"/>
        </w:rPr>
        <w:t xml:space="preserve"> σύμφωνα με τα  στοιχεία της </w:t>
      </w:r>
      <w:r w:rsidR="00DC2971" w:rsidRPr="00825C4A">
        <w:rPr>
          <w:rFonts w:eastAsia="Calibri" w:cs="Arial"/>
          <w:sz w:val="24"/>
          <w:szCs w:val="24"/>
        </w:rPr>
        <w:t>Έρευνας Εργατικού Δυναμικού για το 201</w:t>
      </w:r>
      <w:r w:rsidRPr="00825C4A">
        <w:rPr>
          <w:rFonts w:eastAsia="Calibri" w:cs="Arial"/>
          <w:sz w:val="24"/>
          <w:szCs w:val="24"/>
        </w:rPr>
        <w:t>8</w:t>
      </w:r>
      <w:r w:rsidR="00DC2971" w:rsidRPr="00825C4A">
        <w:rPr>
          <w:rFonts w:eastAsia="Calibri" w:cs="Arial"/>
          <w:sz w:val="24"/>
          <w:szCs w:val="24"/>
        </w:rPr>
        <w:t xml:space="preserve">, </w:t>
      </w:r>
      <w:r w:rsidR="00DC2971" w:rsidRPr="00311B33">
        <w:rPr>
          <w:rFonts w:eastAsia="Calibri" w:cs="Arial"/>
          <w:sz w:val="24"/>
          <w:szCs w:val="24"/>
        </w:rPr>
        <w:t xml:space="preserve">το </w:t>
      </w:r>
      <w:r w:rsidR="00825C4A">
        <w:rPr>
          <w:rFonts w:eastAsia="Calibri" w:cs="Arial"/>
          <w:sz w:val="24"/>
          <w:szCs w:val="24"/>
        </w:rPr>
        <w:t xml:space="preserve">ποσοστό </w:t>
      </w:r>
      <w:r w:rsidR="00DC2971" w:rsidRPr="00311B33">
        <w:rPr>
          <w:rFonts w:eastAsia="Calibri" w:cs="Arial"/>
          <w:sz w:val="24"/>
          <w:szCs w:val="24"/>
        </w:rPr>
        <w:t xml:space="preserve">απασχόλησης </w:t>
      </w:r>
      <w:r w:rsidR="00825C4A">
        <w:rPr>
          <w:rFonts w:eastAsia="Calibri" w:cs="Arial"/>
          <w:sz w:val="24"/>
          <w:szCs w:val="24"/>
        </w:rPr>
        <w:t xml:space="preserve">των ατόμων 20-64 χρονών </w:t>
      </w:r>
      <w:r w:rsidR="00DC2971" w:rsidRPr="00311B33">
        <w:rPr>
          <w:rFonts w:eastAsia="Calibri" w:cs="Arial"/>
          <w:sz w:val="24"/>
          <w:szCs w:val="24"/>
        </w:rPr>
        <w:t xml:space="preserve">αυξήθηκε </w:t>
      </w:r>
      <w:r w:rsidR="00825C4A">
        <w:rPr>
          <w:rFonts w:eastAsia="Calibri" w:cs="Arial"/>
          <w:sz w:val="24"/>
          <w:szCs w:val="24"/>
        </w:rPr>
        <w:t xml:space="preserve">στο 73,9% (386.935 άτομα) </w:t>
      </w:r>
      <w:r w:rsidRPr="00311B33">
        <w:rPr>
          <w:rFonts w:eastAsia="Calibri" w:cs="Arial"/>
          <w:sz w:val="24"/>
          <w:szCs w:val="24"/>
        </w:rPr>
        <w:t xml:space="preserve">το 2018 </w:t>
      </w:r>
      <w:r w:rsidR="00B03741" w:rsidRPr="00311B33">
        <w:rPr>
          <w:rFonts w:eastAsia="Calibri" w:cs="Arial"/>
          <w:sz w:val="24"/>
          <w:szCs w:val="24"/>
        </w:rPr>
        <w:t xml:space="preserve">σε </w:t>
      </w:r>
      <w:r w:rsidR="00DC2971" w:rsidRPr="00311B33">
        <w:rPr>
          <w:rFonts w:eastAsia="Calibri" w:cs="Arial"/>
          <w:sz w:val="24"/>
          <w:szCs w:val="24"/>
        </w:rPr>
        <w:t xml:space="preserve">σύγκριση με </w:t>
      </w:r>
      <w:r w:rsidR="00825C4A">
        <w:rPr>
          <w:rFonts w:eastAsia="Calibri" w:cs="Arial"/>
          <w:sz w:val="24"/>
          <w:szCs w:val="24"/>
        </w:rPr>
        <w:t>70,8% που ήταν</w:t>
      </w:r>
      <w:r w:rsidR="00B03741" w:rsidRPr="00311B33">
        <w:rPr>
          <w:rFonts w:eastAsia="Calibri" w:cs="Arial"/>
          <w:sz w:val="24"/>
          <w:szCs w:val="24"/>
        </w:rPr>
        <w:t xml:space="preserve"> το </w:t>
      </w:r>
      <w:r w:rsidR="00DC2971" w:rsidRPr="00311B33">
        <w:rPr>
          <w:rFonts w:eastAsia="Calibri" w:cs="Arial"/>
          <w:sz w:val="24"/>
          <w:szCs w:val="24"/>
        </w:rPr>
        <w:t xml:space="preserve"> 201</w:t>
      </w:r>
      <w:r w:rsidRPr="00311B33">
        <w:rPr>
          <w:rFonts w:eastAsia="Calibri" w:cs="Arial"/>
          <w:sz w:val="24"/>
          <w:szCs w:val="24"/>
        </w:rPr>
        <w:t>7</w:t>
      </w:r>
      <w:r w:rsidR="00825C4A">
        <w:rPr>
          <w:rFonts w:eastAsia="Calibri" w:cs="Arial"/>
          <w:sz w:val="24"/>
          <w:szCs w:val="24"/>
        </w:rPr>
        <w:t xml:space="preserve"> (367.953 άτομα). </w:t>
      </w:r>
      <w:r w:rsidR="00DC2971" w:rsidRPr="00311B33">
        <w:rPr>
          <w:rFonts w:eastAsia="Calibri" w:cs="Arial"/>
          <w:sz w:val="24"/>
          <w:szCs w:val="24"/>
        </w:rPr>
        <w:t xml:space="preserve"> </w:t>
      </w:r>
      <w:r w:rsidRPr="00311B33">
        <w:rPr>
          <w:rFonts w:ascii="Calibri" w:hAnsi="Calibri"/>
          <w:sz w:val="24"/>
          <w:szCs w:val="24"/>
        </w:rPr>
        <w:t xml:space="preserve">Σε σχέση με τα προηγούμενα χρόνια </w:t>
      </w:r>
      <w:r w:rsidRPr="00311B33">
        <w:rPr>
          <w:sz w:val="24"/>
          <w:szCs w:val="24"/>
          <w:u w:color="000000"/>
        </w:rPr>
        <w:t>το επίπεδο απασχόλησης το 2017 είχε αυξηθεί κατά 4,</w:t>
      </w:r>
      <w:r w:rsidR="000042AC">
        <w:rPr>
          <w:sz w:val="24"/>
          <w:szCs w:val="24"/>
          <w:u w:color="000000"/>
        </w:rPr>
        <w:t>6</w:t>
      </w:r>
      <w:r w:rsidRPr="00311B33">
        <w:rPr>
          <w:sz w:val="24"/>
          <w:szCs w:val="24"/>
          <w:u w:color="000000"/>
        </w:rPr>
        <w:t>% σε σύγκριση με το 2016, φτάνοντας στα 3</w:t>
      </w:r>
      <w:r w:rsidR="000042AC">
        <w:rPr>
          <w:sz w:val="24"/>
          <w:szCs w:val="24"/>
          <w:u w:color="000000"/>
        </w:rPr>
        <w:t>67</w:t>
      </w:r>
      <w:r w:rsidRPr="00311B33">
        <w:rPr>
          <w:sz w:val="24"/>
          <w:szCs w:val="24"/>
          <w:u w:color="000000"/>
        </w:rPr>
        <w:t>.</w:t>
      </w:r>
      <w:r w:rsidR="000042AC">
        <w:rPr>
          <w:sz w:val="24"/>
          <w:szCs w:val="24"/>
          <w:u w:color="000000"/>
        </w:rPr>
        <w:t>953</w:t>
      </w:r>
      <w:r w:rsidRPr="00311B33">
        <w:rPr>
          <w:sz w:val="24"/>
          <w:szCs w:val="24"/>
          <w:u w:color="000000"/>
        </w:rPr>
        <w:t xml:space="preserve"> άτομα, από 3</w:t>
      </w:r>
      <w:r w:rsidR="000042AC">
        <w:rPr>
          <w:sz w:val="24"/>
          <w:szCs w:val="24"/>
          <w:u w:color="000000"/>
        </w:rPr>
        <w:t>51</w:t>
      </w:r>
      <w:r w:rsidRPr="00311B33">
        <w:rPr>
          <w:sz w:val="24"/>
          <w:szCs w:val="24"/>
          <w:u w:color="000000"/>
        </w:rPr>
        <w:t>.</w:t>
      </w:r>
      <w:r w:rsidR="000042AC">
        <w:rPr>
          <w:sz w:val="24"/>
          <w:szCs w:val="24"/>
          <w:u w:color="000000"/>
        </w:rPr>
        <w:t>876</w:t>
      </w:r>
      <w:r w:rsidRPr="00311B33">
        <w:rPr>
          <w:sz w:val="24"/>
          <w:szCs w:val="24"/>
          <w:u w:color="000000"/>
        </w:rPr>
        <w:t xml:space="preserve"> άτομα που ήταν το 2016. Το ποσοστό απασχόλησης των ατόμων 20-64 χρόνων στο σύνολο του πληθυσμού ηλικίας 20-64 είχε αυξηθεί στο 70,7% </w:t>
      </w:r>
      <w:r w:rsidR="00B870BD">
        <w:rPr>
          <w:sz w:val="24"/>
          <w:szCs w:val="24"/>
          <w:u w:color="000000"/>
        </w:rPr>
        <w:t xml:space="preserve">το 2017 </w:t>
      </w:r>
      <w:r w:rsidRPr="00311B33">
        <w:rPr>
          <w:sz w:val="24"/>
          <w:szCs w:val="24"/>
          <w:u w:color="000000"/>
        </w:rPr>
        <w:t>από 68,7% το 2016.</w:t>
      </w:r>
    </w:p>
    <w:p w:rsidR="00DC2971" w:rsidRPr="00311B33" w:rsidRDefault="00DC2971" w:rsidP="00311B33">
      <w:pPr>
        <w:spacing w:after="0"/>
        <w:jc w:val="both"/>
        <w:rPr>
          <w:rFonts w:eastAsia="Times New Roman" w:cs="Arial"/>
          <w:bCs/>
          <w:sz w:val="24"/>
          <w:szCs w:val="24"/>
          <w:lang w:val="x-none" w:eastAsia="x-none"/>
        </w:rPr>
      </w:pPr>
    </w:p>
    <w:p w:rsidR="009543B0" w:rsidRPr="009543B0" w:rsidRDefault="00DC2971" w:rsidP="00311B33">
      <w:pPr>
        <w:spacing w:after="0"/>
        <w:jc w:val="both"/>
        <w:rPr>
          <w:rFonts w:eastAsia="Times New Roman" w:cs="Arial"/>
          <w:bCs/>
          <w:sz w:val="24"/>
          <w:szCs w:val="24"/>
          <w:lang w:eastAsia="x-none"/>
        </w:rPr>
      </w:pPr>
      <w:r w:rsidRPr="00311B33">
        <w:rPr>
          <w:rFonts w:eastAsia="Times New Roman" w:cs="Arial"/>
          <w:bCs/>
          <w:sz w:val="24"/>
          <w:szCs w:val="24"/>
          <w:lang w:val="x-none" w:eastAsia="x-none"/>
        </w:rPr>
        <w:t xml:space="preserve">Το </w:t>
      </w:r>
      <w:proofErr w:type="spellStart"/>
      <w:r w:rsidRPr="00311B33">
        <w:rPr>
          <w:rFonts w:eastAsia="Times New Roman" w:cs="Arial"/>
          <w:bCs/>
          <w:sz w:val="24"/>
          <w:szCs w:val="24"/>
          <w:lang w:val="x-none" w:eastAsia="x-none"/>
        </w:rPr>
        <w:t>μεγ</w:t>
      </w:r>
      <w:proofErr w:type="spellEnd"/>
      <w:r w:rsidRPr="00311B33">
        <w:rPr>
          <w:rFonts w:eastAsia="Times New Roman" w:cs="Arial"/>
          <w:bCs/>
          <w:sz w:val="24"/>
          <w:szCs w:val="24"/>
          <w:lang w:val="x-none" w:eastAsia="x-none"/>
        </w:rPr>
        <w:t xml:space="preserve">αλύτερο </w:t>
      </w:r>
      <w:proofErr w:type="spellStart"/>
      <w:r w:rsidRPr="00311B33">
        <w:rPr>
          <w:rFonts w:eastAsia="Times New Roman" w:cs="Arial"/>
          <w:bCs/>
          <w:sz w:val="24"/>
          <w:szCs w:val="24"/>
          <w:lang w:val="x-none" w:eastAsia="x-none"/>
        </w:rPr>
        <w:t>μερίδιο</w:t>
      </w:r>
      <w:proofErr w:type="spellEnd"/>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των</w:t>
      </w:r>
      <w:proofErr w:type="spellEnd"/>
      <w:r w:rsidRPr="00311B33">
        <w:rPr>
          <w:rFonts w:eastAsia="Times New Roman" w:cs="Arial"/>
          <w:bCs/>
          <w:sz w:val="24"/>
          <w:szCs w:val="24"/>
          <w:lang w:val="x-none" w:eastAsia="x-none"/>
        </w:rPr>
        <w:t xml:space="preserve"> απα</w:t>
      </w:r>
      <w:proofErr w:type="spellStart"/>
      <w:r w:rsidRPr="00311B33">
        <w:rPr>
          <w:rFonts w:eastAsia="Times New Roman" w:cs="Arial"/>
          <w:bCs/>
          <w:sz w:val="24"/>
          <w:szCs w:val="24"/>
          <w:lang w:val="x-none" w:eastAsia="x-none"/>
        </w:rPr>
        <w:t>σχολουμένων</w:t>
      </w:r>
      <w:proofErr w:type="spellEnd"/>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συγκεντρωνότ</w:t>
      </w:r>
      <w:proofErr w:type="spellEnd"/>
      <w:r w:rsidRPr="00311B33">
        <w:rPr>
          <w:rFonts w:eastAsia="Times New Roman" w:cs="Arial"/>
          <w:bCs/>
          <w:sz w:val="24"/>
          <w:szCs w:val="24"/>
          <w:lang w:val="x-none" w:eastAsia="x-none"/>
        </w:rPr>
        <w:t>αν το 201</w:t>
      </w:r>
      <w:r w:rsidR="00B339A0" w:rsidRPr="00311B33">
        <w:rPr>
          <w:rFonts w:eastAsia="Times New Roman" w:cs="Arial"/>
          <w:bCs/>
          <w:sz w:val="24"/>
          <w:szCs w:val="24"/>
          <w:lang w:eastAsia="x-none"/>
        </w:rPr>
        <w:t>8</w:t>
      </w:r>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στον</w:t>
      </w:r>
      <w:proofErr w:type="spellEnd"/>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ευρύ</w:t>
      </w:r>
      <w:proofErr w:type="spellEnd"/>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τομέ</w:t>
      </w:r>
      <w:proofErr w:type="spellEnd"/>
      <w:r w:rsidRPr="00311B33">
        <w:rPr>
          <w:rFonts w:eastAsia="Times New Roman" w:cs="Arial"/>
          <w:bCs/>
          <w:sz w:val="24"/>
          <w:szCs w:val="24"/>
          <w:lang w:val="x-none" w:eastAsia="x-none"/>
        </w:rPr>
        <w:t xml:space="preserve">α </w:t>
      </w:r>
      <w:proofErr w:type="spellStart"/>
      <w:r w:rsidRPr="00311B33">
        <w:rPr>
          <w:rFonts w:eastAsia="Times New Roman" w:cs="Arial"/>
          <w:bCs/>
          <w:sz w:val="24"/>
          <w:szCs w:val="24"/>
          <w:lang w:val="x-none" w:eastAsia="x-none"/>
        </w:rPr>
        <w:t>των</w:t>
      </w:r>
      <w:proofErr w:type="spellEnd"/>
      <w:r w:rsidRPr="00311B33">
        <w:rPr>
          <w:rFonts w:eastAsia="Times New Roman" w:cs="Arial"/>
          <w:bCs/>
          <w:sz w:val="24"/>
          <w:szCs w:val="24"/>
          <w:lang w:val="x-none" w:eastAsia="x-none"/>
        </w:rPr>
        <w:t xml:space="preserve"> υπ</w:t>
      </w:r>
      <w:proofErr w:type="spellStart"/>
      <w:r w:rsidRPr="00311B33">
        <w:rPr>
          <w:rFonts w:eastAsia="Times New Roman" w:cs="Arial"/>
          <w:bCs/>
          <w:sz w:val="24"/>
          <w:szCs w:val="24"/>
          <w:lang w:val="x-none" w:eastAsia="x-none"/>
        </w:rPr>
        <w:t>ηρεσιών</w:t>
      </w:r>
      <w:proofErr w:type="spellEnd"/>
      <w:r w:rsidRPr="00311B33">
        <w:rPr>
          <w:rFonts w:eastAsia="Times New Roman" w:cs="Arial"/>
          <w:bCs/>
          <w:sz w:val="24"/>
          <w:szCs w:val="24"/>
          <w:lang w:val="x-none" w:eastAsia="x-none"/>
        </w:rPr>
        <w:t xml:space="preserve"> </w:t>
      </w:r>
      <w:r w:rsidR="000556BC">
        <w:rPr>
          <w:rFonts w:eastAsia="Times New Roman" w:cs="Arial"/>
          <w:bCs/>
          <w:sz w:val="24"/>
          <w:szCs w:val="24"/>
          <w:lang w:eastAsia="x-none"/>
        </w:rPr>
        <w:t>81,2</w:t>
      </w:r>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ενώ</w:t>
      </w:r>
      <w:proofErr w:type="spellEnd"/>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οι</w:t>
      </w:r>
      <w:proofErr w:type="spellEnd"/>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ευρείς</w:t>
      </w:r>
      <w:proofErr w:type="spellEnd"/>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τομείς</w:t>
      </w:r>
      <w:proofErr w:type="spellEnd"/>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της</w:t>
      </w:r>
      <w:proofErr w:type="spellEnd"/>
      <w:r w:rsidRPr="00311B33">
        <w:rPr>
          <w:rFonts w:eastAsia="Times New Roman" w:cs="Arial"/>
          <w:bCs/>
          <w:sz w:val="24"/>
          <w:szCs w:val="24"/>
          <w:lang w:val="x-none" w:eastAsia="x-none"/>
        </w:rPr>
        <w:t xml:space="preserve"> β</w:t>
      </w:r>
      <w:proofErr w:type="spellStart"/>
      <w:r w:rsidRPr="00311B33">
        <w:rPr>
          <w:rFonts w:eastAsia="Times New Roman" w:cs="Arial"/>
          <w:bCs/>
          <w:sz w:val="24"/>
          <w:szCs w:val="24"/>
          <w:lang w:val="x-none" w:eastAsia="x-none"/>
        </w:rPr>
        <w:t>ιομηχ</w:t>
      </w:r>
      <w:proofErr w:type="spellEnd"/>
      <w:r w:rsidRPr="00311B33">
        <w:rPr>
          <w:rFonts w:eastAsia="Times New Roman" w:cs="Arial"/>
          <w:bCs/>
          <w:sz w:val="24"/>
          <w:szCs w:val="24"/>
          <w:lang w:val="x-none" w:eastAsia="x-none"/>
        </w:rPr>
        <w:t xml:space="preserve">ανίας και </w:t>
      </w:r>
      <w:proofErr w:type="spellStart"/>
      <w:r w:rsidRPr="00311B33">
        <w:rPr>
          <w:rFonts w:eastAsia="Times New Roman" w:cs="Arial"/>
          <w:bCs/>
          <w:sz w:val="24"/>
          <w:szCs w:val="24"/>
          <w:lang w:val="x-none" w:eastAsia="x-none"/>
        </w:rPr>
        <w:t>γεωργί</w:t>
      </w:r>
      <w:proofErr w:type="spellEnd"/>
      <w:r w:rsidRPr="00311B33">
        <w:rPr>
          <w:rFonts w:eastAsia="Times New Roman" w:cs="Arial"/>
          <w:bCs/>
          <w:sz w:val="24"/>
          <w:szCs w:val="24"/>
          <w:lang w:val="x-none" w:eastAsia="x-none"/>
        </w:rPr>
        <w:t xml:space="preserve">ας </w:t>
      </w:r>
      <w:proofErr w:type="spellStart"/>
      <w:r w:rsidRPr="00311B33">
        <w:rPr>
          <w:rFonts w:eastAsia="Times New Roman" w:cs="Arial"/>
          <w:bCs/>
          <w:sz w:val="24"/>
          <w:szCs w:val="24"/>
          <w:lang w:val="x-none" w:eastAsia="x-none"/>
        </w:rPr>
        <w:t>συγκέντρωσ</w:t>
      </w:r>
      <w:proofErr w:type="spellEnd"/>
      <w:r w:rsidRPr="00311B33">
        <w:rPr>
          <w:rFonts w:eastAsia="Times New Roman" w:cs="Arial"/>
          <w:bCs/>
          <w:sz w:val="24"/>
          <w:szCs w:val="24"/>
          <w:lang w:val="x-none" w:eastAsia="x-none"/>
        </w:rPr>
        <w:t xml:space="preserve">αν </w:t>
      </w:r>
      <w:proofErr w:type="spellStart"/>
      <w:r w:rsidRPr="00311B33">
        <w:rPr>
          <w:rFonts w:eastAsia="Times New Roman" w:cs="Arial"/>
          <w:bCs/>
          <w:sz w:val="24"/>
          <w:szCs w:val="24"/>
          <w:lang w:val="x-none" w:eastAsia="x-none"/>
        </w:rPr>
        <w:t>μικρότερ</w:t>
      </w:r>
      <w:proofErr w:type="spellEnd"/>
      <w:r w:rsidRPr="00311B33">
        <w:rPr>
          <w:rFonts w:eastAsia="Times New Roman" w:cs="Arial"/>
          <w:bCs/>
          <w:sz w:val="24"/>
          <w:szCs w:val="24"/>
          <w:lang w:val="x-none" w:eastAsia="x-none"/>
        </w:rPr>
        <w:t>α π</w:t>
      </w:r>
      <w:proofErr w:type="spellStart"/>
      <w:r w:rsidRPr="00311B33">
        <w:rPr>
          <w:rFonts w:eastAsia="Times New Roman" w:cs="Arial"/>
          <w:bCs/>
          <w:sz w:val="24"/>
          <w:szCs w:val="24"/>
          <w:lang w:val="x-none" w:eastAsia="x-none"/>
        </w:rPr>
        <w:t>οσοστά</w:t>
      </w:r>
      <w:proofErr w:type="spellEnd"/>
      <w:r w:rsidRPr="00311B33">
        <w:rPr>
          <w:rFonts w:eastAsia="Times New Roman" w:cs="Arial"/>
          <w:bCs/>
          <w:sz w:val="24"/>
          <w:szCs w:val="24"/>
          <w:lang w:val="x-none" w:eastAsia="x-none"/>
        </w:rPr>
        <w:t xml:space="preserve"> </w:t>
      </w:r>
      <w:r w:rsidR="000556BC">
        <w:rPr>
          <w:rFonts w:eastAsia="Times New Roman" w:cs="Arial"/>
          <w:bCs/>
          <w:sz w:val="24"/>
          <w:szCs w:val="24"/>
          <w:lang w:eastAsia="x-none"/>
        </w:rPr>
        <w:t>16,6</w:t>
      </w:r>
      <w:r w:rsidRPr="00311B33">
        <w:rPr>
          <w:rFonts w:eastAsia="Times New Roman" w:cs="Arial"/>
          <w:bCs/>
          <w:sz w:val="24"/>
          <w:szCs w:val="24"/>
          <w:lang w:val="x-none" w:eastAsia="x-none"/>
        </w:rPr>
        <w:t xml:space="preserve">% και </w:t>
      </w:r>
      <w:r w:rsidR="000556BC">
        <w:rPr>
          <w:rFonts w:eastAsia="Times New Roman" w:cs="Arial"/>
          <w:bCs/>
          <w:sz w:val="24"/>
          <w:szCs w:val="24"/>
          <w:lang w:eastAsia="x-none"/>
        </w:rPr>
        <w:t>2,2</w:t>
      </w:r>
      <w:r w:rsidRPr="00311B33">
        <w:rPr>
          <w:rFonts w:eastAsia="Times New Roman" w:cs="Arial"/>
          <w:bCs/>
          <w:sz w:val="24"/>
          <w:szCs w:val="24"/>
          <w:lang w:val="x-none" w:eastAsia="x-none"/>
        </w:rPr>
        <w:t>% α</w:t>
      </w:r>
      <w:proofErr w:type="spellStart"/>
      <w:r w:rsidRPr="00311B33">
        <w:rPr>
          <w:rFonts w:eastAsia="Times New Roman" w:cs="Arial"/>
          <w:bCs/>
          <w:sz w:val="24"/>
          <w:szCs w:val="24"/>
          <w:lang w:val="x-none" w:eastAsia="x-none"/>
        </w:rPr>
        <w:t>ντίστοιχ</w:t>
      </w:r>
      <w:proofErr w:type="spellEnd"/>
      <w:r w:rsidRPr="00311B33">
        <w:rPr>
          <w:rFonts w:eastAsia="Times New Roman" w:cs="Arial"/>
          <w:bCs/>
          <w:sz w:val="24"/>
          <w:szCs w:val="24"/>
          <w:lang w:val="x-none" w:eastAsia="x-none"/>
        </w:rPr>
        <w:t xml:space="preserve">α). Από </w:t>
      </w:r>
      <w:proofErr w:type="spellStart"/>
      <w:r w:rsidRPr="00311B33">
        <w:rPr>
          <w:rFonts w:eastAsia="Times New Roman" w:cs="Arial"/>
          <w:bCs/>
          <w:sz w:val="24"/>
          <w:szCs w:val="24"/>
          <w:lang w:val="x-none" w:eastAsia="x-none"/>
        </w:rPr>
        <w:t>τους</w:t>
      </w:r>
      <w:proofErr w:type="spellEnd"/>
      <w:r w:rsidRPr="00311B33">
        <w:rPr>
          <w:rFonts w:eastAsia="Times New Roman" w:cs="Arial"/>
          <w:bCs/>
          <w:sz w:val="24"/>
          <w:szCs w:val="24"/>
          <w:lang w:val="x-none" w:eastAsia="x-none"/>
        </w:rPr>
        <w:t xml:space="preserve"> απα</w:t>
      </w:r>
      <w:proofErr w:type="spellStart"/>
      <w:r w:rsidRPr="00311B33">
        <w:rPr>
          <w:rFonts w:eastAsia="Times New Roman" w:cs="Arial"/>
          <w:bCs/>
          <w:sz w:val="24"/>
          <w:szCs w:val="24"/>
          <w:lang w:val="x-none" w:eastAsia="x-none"/>
        </w:rPr>
        <w:t>σχολούμενους</w:t>
      </w:r>
      <w:proofErr w:type="spellEnd"/>
      <w:r w:rsidRPr="00311B33">
        <w:rPr>
          <w:rFonts w:eastAsia="Times New Roman" w:cs="Arial"/>
          <w:bCs/>
          <w:sz w:val="24"/>
          <w:szCs w:val="24"/>
          <w:lang w:val="x-none" w:eastAsia="x-none"/>
        </w:rPr>
        <w:t xml:space="preserve"> το </w:t>
      </w:r>
      <w:r w:rsidR="000556BC">
        <w:rPr>
          <w:rFonts w:eastAsia="Times New Roman" w:cs="Arial"/>
          <w:bCs/>
          <w:sz w:val="24"/>
          <w:szCs w:val="24"/>
          <w:lang w:eastAsia="x-none"/>
        </w:rPr>
        <w:t>88,4</w:t>
      </w:r>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είχ</w:t>
      </w:r>
      <w:proofErr w:type="spellEnd"/>
      <w:r w:rsidRPr="00311B33">
        <w:rPr>
          <w:rFonts w:eastAsia="Times New Roman" w:cs="Arial"/>
          <w:bCs/>
          <w:sz w:val="24"/>
          <w:szCs w:val="24"/>
          <w:lang w:val="x-none" w:eastAsia="x-none"/>
        </w:rPr>
        <w:t>αν π</w:t>
      </w:r>
      <w:proofErr w:type="spellStart"/>
      <w:r w:rsidRPr="00311B33">
        <w:rPr>
          <w:rFonts w:eastAsia="Times New Roman" w:cs="Arial"/>
          <w:bCs/>
          <w:sz w:val="24"/>
          <w:szCs w:val="24"/>
          <w:lang w:val="x-none" w:eastAsia="x-none"/>
        </w:rPr>
        <w:t>λήρη</w:t>
      </w:r>
      <w:proofErr w:type="spellEnd"/>
      <w:r w:rsidRPr="00311B33">
        <w:rPr>
          <w:rFonts w:eastAsia="Times New Roman" w:cs="Arial"/>
          <w:bCs/>
          <w:sz w:val="24"/>
          <w:szCs w:val="24"/>
          <w:lang w:val="x-none" w:eastAsia="x-none"/>
        </w:rPr>
        <w:t xml:space="preserve"> απα</w:t>
      </w:r>
      <w:proofErr w:type="spellStart"/>
      <w:r w:rsidRPr="00311B33">
        <w:rPr>
          <w:rFonts w:eastAsia="Times New Roman" w:cs="Arial"/>
          <w:bCs/>
          <w:sz w:val="24"/>
          <w:szCs w:val="24"/>
          <w:lang w:val="x-none" w:eastAsia="x-none"/>
        </w:rPr>
        <w:t>σχόληση</w:t>
      </w:r>
      <w:proofErr w:type="spellEnd"/>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ενώ</w:t>
      </w:r>
      <w:proofErr w:type="spellEnd"/>
      <w:r w:rsidRPr="00311B33">
        <w:rPr>
          <w:rFonts w:eastAsia="Times New Roman" w:cs="Arial"/>
          <w:bCs/>
          <w:sz w:val="24"/>
          <w:szCs w:val="24"/>
          <w:lang w:val="x-none" w:eastAsia="x-none"/>
        </w:rPr>
        <w:t xml:space="preserve"> το υπ</w:t>
      </w:r>
      <w:proofErr w:type="spellStart"/>
      <w:r w:rsidRPr="00311B33">
        <w:rPr>
          <w:rFonts w:eastAsia="Times New Roman" w:cs="Arial"/>
          <w:bCs/>
          <w:sz w:val="24"/>
          <w:szCs w:val="24"/>
          <w:lang w:val="x-none" w:eastAsia="x-none"/>
        </w:rPr>
        <w:t>όλοι</w:t>
      </w:r>
      <w:proofErr w:type="spellEnd"/>
      <w:r w:rsidRPr="00311B33">
        <w:rPr>
          <w:rFonts w:eastAsia="Times New Roman" w:cs="Arial"/>
          <w:bCs/>
          <w:sz w:val="24"/>
          <w:szCs w:val="24"/>
          <w:lang w:val="x-none" w:eastAsia="x-none"/>
        </w:rPr>
        <w:t xml:space="preserve">πο </w:t>
      </w:r>
      <w:r w:rsidR="000556BC">
        <w:rPr>
          <w:rFonts w:eastAsia="Times New Roman" w:cs="Arial"/>
          <w:bCs/>
          <w:sz w:val="24"/>
          <w:szCs w:val="24"/>
          <w:lang w:eastAsia="x-none"/>
        </w:rPr>
        <w:t>11,6</w:t>
      </w:r>
      <w:r w:rsidRPr="00311B33">
        <w:rPr>
          <w:rFonts w:eastAsia="Times New Roman" w:cs="Arial"/>
          <w:bCs/>
          <w:sz w:val="24"/>
          <w:szCs w:val="24"/>
          <w:lang w:val="x-none" w:eastAsia="x-none"/>
        </w:rPr>
        <w:t xml:space="preserve">% </w:t>
      </w:r>
      <w:proofErr w:type="spellStart"/>
      <w:r w:rsidRPr="00311B33">
        <w:rPr>
          <w:rFonts w:eastAsia="Times New Roman" w:cs="Arial"/>
          <w:bCs/>
          <w:sz w:val="24"/>
          <w:szCs w:val="24"/>
          <w:lang w:val="x-none" w:eastAsia="x-none"/>
        </w:rPr>
        <w:t>είχ</w:t>
      </w:r>
      <w:proofErr w:type="spellEnd"/>
      <w:r w:rsidRPr="00311B33">
        <w:rPr>
          <w:rFonts w:eastAsia="Times New Roman" w:cs="Arial"/>
          <w:bCs/>
          <w:sz w:val="24"/>
          <w:szCs w:val="24"/>
          <w:lang w:val="x-none" w:eastAsia="x-none"/>
        </w:rPr>
        <w:t xml:space="preserve">αν </w:t>
      </w:r>
      <w:proofErr w:type="spellStart"/>
      <w:r w:rsidRPr="00311B33">
        <w:rPr>
          <w:rFonts w:eastAsia="Times New Roman" w:cs="Arial"/>
          <w:bCs/>
          <w:sz w:val="24"/>
          <w:szCs w:val="24"/>
          <w:lang w:val="x-none" w:eastAsia="x-none"/>
        </w:rPr>
        <w:t>μερική</w:t>
      </w:r>
      <w:proofErr w:type="spellEnd"/>
      <w:r w:rsidRPr="00311B33">
        <w:rPr>
          <w:rFonts w:eastAsia="Times New Roman" w:cs="Arial"/>
          <w:bCs/>
          <w:sz w:val="24"/>
          <w:szCs w:val="24"/>
          <w:lang w:val="x-none" w:eastAsia="x-none"/>
        </w:rPr>
        <w:t xml:space="preserve"> απα</w:t>
      </w:r>
      <w:proofErr w:type="spellStart"/>
      <w:r w:rsidRPr="00311B33">
        <w:rPr>
          <w:rFonts w:eastAsia="Times New Roman" w:cs="Arial"/>
          <w:bCs/>
          <w:sz w:val="24"/>
          <w:szCs w:val="24"/>
          <w:lang w:val="x-none" w:eastAsia="x-none"/>
        </w:rPr>
        <w:t>σχόληση</w:t>
      </w:r>
      <w:proofErr w:type="spellEnd"/>
      <w:r w:rsidRPr="00311B33">
        <w:rPr>
          <w:rFonts w:eastAsia="Times New Roman" w:cs="Arial"/>
          <w:bCs/>
          <w:sz w:val="24"/>
          <w:szCs w:val="24"/>
          <w:lang w:val="x-none" w:eastAsia="x-none"/>
        </w:rPr>
        <w:t xml:space="preserve">. </w:t>
      </w:r>
    </w:p>
    <w:p w:rsidR="00DC2971" w:rsidRPr="00311B33" w:rsidRDefault="00DC2971" w:rsidP="00311B33">
      <w:pPr>
        <w:spacing w:after="0"/>
        <w:contextualSpacing/>
        <w:jc w:val="both"/>
        <w:rPr>
          <w:rFonts w:eastAsia="Calibri" w:cs="Arial"/>
          <w:sz w:val="24"/>
          <w:szCs w:val="24"/>
        </w:rPr>
      </w:pPr>
    </w:p>
    <w:p w:rsidR="00203875" w:rsidRPr="00311B33" w:rsidRDefault="00A02D28" w:rsidP="00656B79">
      <w:pPr>
        <w:spacing w:after="0"/>
        <w:contextualSpacing/>
        <w:jc w:val="both"/>
        <w:rPr>
          <w:rFonts w:ascii="Calibri" w:hAnsi="Calibri"/>
          <w:sz w:val="24"/>
          <w:szCs w:val="24"/>
        </w:rPr>
      </w:pPr>
      <w:r w:rsidRPr="00311B33">
        <w:rPr>
          <w:rFonts w:eastAsia="Calibri" w:cs="Arial"/>
          <w:sz w:val="24"/>
          <w:szCs w:val="24"/>
        </w:rPr>
        <w:t xml:space="preserve">Το ποσοστό </w:t>
      </w:r>
      <w:r w:rsidR="00DC2971" w:rsidRPr="00311B33">
        <w:rPr>
          <w:rFonts w:eastAsia="Calibri" w:cs="Arial"/>
          <w:sz w:val="24"/>
          <w:szCs w:val="24"/>
        </w:rPr>
        <w:t>ανεργίας</w:t>
      </w:r>
      <w:r w:rsidRPr="00311B33">
        <w:rPr>
          <w:rFonts w:eastAsia="Calibri" w:cs="Arial"/>
          <w:sz w:val="24"/>
          <w:szCs w:val="24"/>
        </w:rPr>
        <w:t xml:space="preserve">, το οποίο άρχισε να παρουσιάζει πτωτική πορεία από το δεύτερο τρίμηνο του 2015, το 2018 </w:t>
      </w:r>
      <w:r w:rsidR="00DC2971" w:rsidRPr="00311B33">
        <w:rPr>
          <w:rFonts w:eastAsia="Calibri" w:cs="Arial"/>
          <w:sz w:val="24"/>
          <w:szCs w:val="24"/>
        </w:rPr>
        <w:t xml:space="preserve">διαμορφώθηκε στο </w:t>
      </w:r>
      <w:r w:rsidR="00833337">
        <w:rPr>
          <w:rFonts w:eastAsia="Calibri" w:cs="Arial"/>
          <w:sz w:val="24"/>
          <w:szCs w:val="24"/>
        </w:rPr>
        <w:t>8,4</w:t>
      </w:r>
      <w:r w:rsidR="00DC2971" w:rsidRPr="00311B33">
        <w:rPr>
          <w:rFonts w:eastAsia="Calibri" w:cs="Arial"/>
          <w:sz w:val="24"/>
          <w:szCs w:val="24"/>
        </w:rPr>
        <w:t xml:space="preserve">% </w:t>
      </w:r>
      <w:r w:rsidR="00833337">
        <w:rPr>
          <w:rFonts w:eastAsia="Calibri" w:cs="Arial"/>
          <w:sz w:val="24"/>
          <w:szCs w:val="24"/>
        </w:rPr>
        <w:t>ή 36,617</w:t>
      </w:r>
      <w:r w:rsidR="00DC2971" w:rsidRPr="00311B33">
        <w:rPr>
          <w:rFonts w:eastAsia="Calibri" w:cs="Arial"/>
          <w:sz w:val="24"/>
          <w:szCs w:val="24"/>
        </w:rPr>
        <w:t xml:space="preserve"> άτομα</w:t>
      </w:r>
      <w:r w:rsidR="00833337">
        <w:rPr>
          <w:rFonts w:eastAsia="Calibri" w:cs="Arial"/>
          <w:sz w:val="24"/>
          <w:szCs w:val="24"/>
        </w:rPr>
        <w:t>,</w:t>
      </w:r>
      <w:r w:rsidR="00DC2971" w:rsidRPr="00311B33">
        <w:rPr>
          <w:rFonts w:eastAsia="Calibri" w:cs="Arial"/>
          <w:sz w:val="24"/>
          <w:szCs w:val="24"/>
        </w:rPr>
        <w:t xml:space="preserve"> </w:t>
      </w:r>
      <w:r w:rsidR="00833337">
        <w:rPr>
          <w:rFonts w:eastAsia="Calibri" w:cs="Arial"/>
          <w:sz w:val="24"/>
          <w:szCs w:val="24"/>
        </w:rPr>
        <w:t>παρο</w:t>
      </w:r>
      <w:r w:rsidR="00DC2971" w:rsidRPr="00311B33">
        <w:rPr>
          <w:rFonts w:eastAsia="Calibri" w:cs="Arial"/>
          <w:sz w:val="24"/>
          <w:szCs w:val="24"/>
        </w:rPr>
        <w:t xml:space="preserve">υσιάζοντας μείωση κατά </w:t>
      </w:r>
      <w:r w:rsidR="00833337">
        <w:rPr>
          <w:rFonts w:eastAsia="Calibri" w:cs="Arial"/>
          <w:sz w:val="24"/>
          <w:szCs w:val="24"/>
        </w:rPr>
        <w:t>2,7</w:t>
      </w:r>
      <w:r w:rsidR="00DC2971" w:rsidRPr="00311B33">
        <w:rPr>
          <w:rFonts w:eastAsia="Calibri" w:cs="Arial"/>
          <w:sz w:val="24"/>
          <w:szCs w:val="24"/>
        </w:rPr>
        <w:t xml:space="preserve"> ποσοστιαίες μονάδες σε σχέση με </w:t>
      </w:r>
      <w:r w:rsidR="00833337">
        <w:rPr>
          <w:rFonts w:eastAsia="Calibri" w:cs="Arial"/>
          <w:sz w:val="24"/>
          <w:szCs w:val="24"/>
        </w:rPr>
        <w:t xml:space="preserve">το </w:t>
      </w:r>
      <w:r w:rsidR="00DC2971" w:rsidRPr="00311B33">
        <w:rPr>
          <w:rFonts w:eastAsia="Calibri" w:cs="Arial"/>
          <w:sz w:val="24"/>
          <w:szCs w:val="24"/>
        </w:rPr>
        <w:t>201</w:t>
      </w:r>
      <w:r w:rsidRPr="00311B33">
        <w:rPr>
          <w:rFonts w:eastAsia="Calibri" w:cs="Arial"/>
          <w:sz w:val="24"/>
          <w:szCs w:val="24"/>
        </w:rPr>
        <w:t>7</w:t>
      </w:r>
      <w:r w:rsidR="00DC2971" w:rsidRPr="00311B33">
        <w:rPr>
          <w:rFonts w:eastAsia="Calibri" w:cs="Arial"/>
          <w:sz w:val="24"/>
          <w:szCs w:val="24"/>
        </w:rPr>
        <w:t xml:space="preserve"> που ήταν </w:t>
      </w:r>
      <w:r w:rsidR="00833337">
        <w:rPr>
          <w:rFonts w:eastAsia="Calibri" w:cs="Arial"/>
          <w:sz w:val="24"/>
          <w:szCs w:val="24"/>
        </w:rPr>
        <w:t>11,1</w:t>
      </w:r>
      <w:r w:rsidR="00DC2971" w:rsidRPr="00311B33">
        <w:rPr>
          <w:rFonts w:eastAsia="Calibri" w:cs="Arial"/>
          <w:sz w:val="24"/>
          <w:szCs w:val="24"/>
        </w:rPr>
        <w:t xml:space="preserve">% </w:t>
      </w:r>
      <w:r w:rsidR="00833337">
        <w:rPr>
          <w:rFonts w:eastAsia="Calibri" w:cs="Arial"/>
          <w:sz w:val="24"/>
          <w:szCs w:val="24"/>
        </w:rPr>
        <w:t>ή</w:t>
      </w:r>
      <w:r w:rsidR="00DC2971" w:rsidRPr="00311B33">
        <w:rPr>
          <w:rFonts w:eastAsia="Calibri" w:cs="Arial"/>
          <w:sz w:val="24"/>
          <w:szCs w:val="24"/>
        </w:rPr>
        <w:t xml:space="preserve"> </w:t>
      </w:r>
      <w:r w:rsidR="00833337">
        <w:rPr>
          <w:rFonts w:eastAsia="Calibri" w:cs="Arial"/>
          <w:sz w:val="24"/>
          <w:szCs w:val="24"/>
        </w:rPr>
        <w:t xml:space="preserve">47,166 </w:t>
      </w:r>
      <w:r w:rsidR="00DC2971" w:rsidRPr="00311B33">
        <w:rPr>
          <w:rFonts w:eastAsia="Calibri" w:cs="Arial"/>
          <w:sz w:val="24"/>
          <w:szCs w:val="24"/>
        </w:rPr>
        <w:t>άτομα</w:t>
      </w:r>
      <w:r w:rsidR="00CA2BA9">
        <w:rPr>
          <w:rFonts w:eastAsia="Calibri" w:cs="Arial"/>
          <w:sz w:val="24"/>
          <w:szCs w:val="24"/>
        </w:rPr>
        <w:t>, γεγονός το οποίο καταδεικνύει τη σημαντική βελτίωση στην αγορά εργασίας</w:t>
      </w:r>
      <w:r w:rsidR="00DC2971" w:rsidRPr="00311B33">
        <w:rPr>
          <w:rFonts w:eastAsia="Calibri" w:cs="Arial"/>
          <w:sz w:val="24"/>
          <w:szCs w:val="24"/>
        </w:rPr>
        <w:t xml:space="preserve">. </w:t>
      </w:r>
      <w:r w:rsidR="00203875" w:rsidRPr="00311B33">
        <w:rPr>
          <w:rFonts w:ascii="Calibri" w:hAnsi="Calibri"/>
          <w:sz w:val="24"/>
          <w:szCs w:val="24"/>
        </w:rPr>
        <w:t>Σε σχέση με τα προηγούμενα χρόνια</w:t>
      </w:r>
      <w:r w:rsidR="00656B79">
        <w:rPr>
          <w:rFonts w:ascii="Calibri" w:hAnsi="Calibri"/>
          <w:sz w:val="24"/>
          <w:szCs w:val="24"/>
        </w:rPr>
        <w:t>, το ποσοστό</w:t>
      </w:r>
      <w:r w:rsidR="00203875" w:rsidRPr="00311B33">
        <w:rPr>
          <w:rFonts w:ascii="Calibri" w:hAnsi="Calibri"/>
          <w:sz w:val="24"/>
          <w:szCs w:val="24"/>
        </w:rPr>
        <w:t xml:space="preserve"> ανεργίας το 2016 ήταν 12,9%, το 2015 ήταν 14,9%, το 2014 ήταν 16,1%, και το 2013 ήταν 15,9%.</w:t>
      </w:r>
    </w:p>
    <w:p w:rsidR="00656B79" w:rsidRDefault="00656B79" w:rsidP="00311B33">
      <w:pPr>
        <w:spacing w:after="240"/>
        <w:jc w:val="both"/>
        <w:rPr>
          <w:rFonts w:ascii="Calibri" w:hAnsi="Calibri"/>
          <w:sz w:val="24"/>
          <w:szCs w:val="24"/>
        </w:rPr>
      </w:pPr>
    </w:p>
    <w:p w:rsidR="00203875" w:rsidRDefault="00203875" w:rsidP="00656B79">
      <w:pPr>
        <w:spacing w:after="240"/>
        <w:jc w:val="both"/>
        <w:rPr>
          <w:rFonts w:ascii="Calibri" w:hAnsi="Calibri"/>
          <w:sz w:val="24"/>
          <w:szCs w:val="24"/>
        </w:rPr>
      </w:pPr>
      <w:r w:rsidRPr="00311B33">
        <w:rPr>
          <w:rFonts w:ascii="Calibri" w:hAnsi="Calibri"/>
          <w:sz w:val="24"/>
          <w:szCs w:val="24"/>
        </w:rPr>
        <w:t>Το ποσοστό ανεργίας στους νέους 15-24 ετών διαμορφώθηκε</w:t>
      </w:r>
      <w:r w:rsidR="00A02D28" w:rsidRPr="00311B33">
        <w:rPr>
          <w:rFonts w:ascii="Calibri" w:hAnsi="Calibri"/>
          <w:sz w:val="24"/>
          <w:szCs w:val="24"/>
        </w:rPr>
        <w:t xml:space="preserve"> </w:t>
      </w:r>
      <w:r w:rsidRPr="00311B33">
        <w:rPr>
          <w:rFonts w:ascii="Calibri" w:hAnsi="Calibri"/>
          <w:sz w:val="24"/>
          <w:szCs w:val="24"/>
        </w:rPr>
        <w:t xml:space="preserve">στο </w:t>
      </w:r>
      <w:r w:rsidR="00656B79">
        <w:rPr>
          <w:rFonts w:ascii="Calibri" w:hAnsi="Calibri"/>
          <w:sz w:val="24"/>
          <w:szCs w:val="24"/>
        </w:rPr>
        <w:t>20,2</w:t>
      </w:r>
      <w:r w:rsidRPr="00311B33">
        <w:rPr>
          <w:rFonts w:ascii="Calibri" w:hAnsi="Calibri"/>
          <w:sz w:val="24"/>
          <w:szCs w:val="24"/>
        </w:rPr>
        <w:t xml:space="preserve">% το 2018, παρουσιάζοντας μείωση κατά </w:t>
      </w:r>
      <w:r w:rsidR="00656B79">
        <w:rPr>
          <w:rFonts w:ascii="Calibri" w:hAnsi="Calibri"/>
          <w:sz w:val="24"/>
          <w:szCs w:val="24"/>
        </w:rPr>
        <w:t>4,5</w:t>
      </w:r>
      <w:r w:rsidRPr="00311B33">
        <w:rPr>
          <w:rFonts w:ascii="Calibri" w:hAnsi="Calibri"/>
          <w:sz w:val="24"/>
          <w:szCs w:val="24"/>
        </w:rPr>
        <w:t xml:space="preserve"> ποσοστιαίες μονάδες σε σχέση με το 2017 που ήταν </w:t>
      </w:r>
      <w:r w:rsidR="00656B79">
        <w:rPr>
          <w:rFonts w:ascii="Calibri" w:hAnsi="Calibri"/>
          <w:sz w:val="24"/>
          <w:szCs w:val="24"/>
        </w:rPr>
        <w:t>24,7</w:t>
      </w:r>
      <w:r w:rsidRPr="00311B33">
        <w:rPr>
          <w:rFonts w:ascii="Calibri" w:hAnsi="Calibri"/>
          <w:sz w:val="24"/>
          <w:szCs w:val="24"/>
        </w:rPr>
        <w:t xml:space="preserve">%. </w:t>
      </w:r>
      <w:r w:rsidR="00656B79">
        <w:rPr>
          <w:rFonts w:ascii="Calibri" w:hAnsi="Calibri"/>
          <w:sz w:val="24"/>
          <w:szCs w:val="24"/>
        </w:rPr>
        <w:t>Τ</w:t>
      </w:r>
      <w:r w:rsidRPr="00311B33">
        <w:rPr>
          <w:rFonts w:ascii="Calibri" w:hAnsi="Calibri"/>
          <w:sz w:val="24"/>
          <w:szCs w:val="24"/>
        </w:rPr>
        <w:t xml:space="preserve">ο ποσοστό ανεργίας στους νέους 15-24 ετών το 2016 </w:t>
      </w:r>
      <w:r w:rsidR="00E15797">
        <w:rPr>
          <w:rFonts w:ascii="Calibri" w:hAnsi="Calibri"/>
          <w:sz w:val="24"/>
          <w:szCs w:val="24"/>
        </w:rPr>
        <w:t xml:space="preserve">είχε φτάσει </w:t>
      </w:r>
      <w:r w:rsidRPr="00311B33">
        <w:rPr>
          <w:rFonts w:ascii="Calibri" w:hAnsi="Calibri"/>
          <w:sz w:val="24"/>
          <w:szCs w:val="24"/>
        </w:rPr>
        <w:t>στο 29,1%, το 2015 στο 32,8%, το 2014 στο 36,0%  και το 2013 στο 38,9%.</w:t>
      </w:r>
    </w:p>
    <w:p w:rsidR="00656B79" w:rsidRPr="00E15797" w:rsidRDefault="00656B79" w:rsidP="00656B79">
      <w:pPr>
        <w:spacing w:after="240"/>
        <w:jc w:val="both"/>
        <w:rPr>
          <w:rFonts w:ascii="Calibri" w:hAnsi="Calibri"/>
          <w:sz w:val="24"/>
          <w:szCs w:val="24"/>
        </w:rPr>
      </w:pPr>
      <w:r>
        <w:rPr>
          <w:rFonts w:ascii="Calibri" w:hAnsi="Calibri"/>
          <w:sz w:val="24"/>
          <w:szCs w:val="24"/>
        </w:rPr>
        <w:lastRenderedPageBreak/>
        <w:t xml:space="preserve">Η μακροπρόθεσμη ανεργία (άνω των 12 μηνών) ως ποσοστό του εργατικού δυναμικού μειώθηκε στο 2,7% το 2018 σε σχέση με 4,5% που ήταν το 2017. </w:t>
      </w:r>
    </w:p>
    <w:p w:rsidR="00656B79" w:rsidRDefault="00656B79" w:rsidP="00311B33">
      <w:pPr>
        <w:spacing w:after="240"/>
        <w:jc w:val="both"/>
        <w:rPr>
          <w:rFonts w:ascii="Calibri" w:hAnsi="Calibri"/>
          <w:sz w:val="24"/>
          <w:szCs w:val="24"/>
        </w:rPr>
      </w:pPr>
    </w:p>
    <w:p w:rsidR="00656B79" w:rsidRDefault="003F24FA" w:rsidP="00656B79">
      <w:pPr>
        <w:spacing w:after="240" w:line="240" w:lineRule="auto"/>
        <w:jc w:val="center"/>
        <w:rPr>
          <w:rFonts w:ascii="Calibri" w:hAnsi="Calibri"/>
          <w:b/>
          <w:sz w:val="24"/>
          <w:szCs w:val="24"/>
        </w:rPr>
      </w:pPr>
      <w:r w:rsidRPr="006D7F00">
        <w:rPr>
          <w:rFonts w:ascii="Calibri" w:hAnsi="Calibri"/>
          <w:b/>
          <w:sz w:val="24"/>
          <w:szCs w:val="24"/>
        </w:rPr>
        <w:t>Πίνακας 1: Ποσοστό ανεργίας και μακροπρόθεσμη ανεργία 2013-2018</w:t>
      </w:r>
      <w:r w:rsidR="006D7F00">
        <w:rPr>
          <w:rFonts w:ascii="Calibri" w:hAnsi="Calibri"/>
          <w:b/>
          <w:sz w:val="24"/>
          <w:szCs w:val="24"/>
        </w:rPr>
        <w:t xml:space="preserve">,  </w:t>
      </w:r>
    </w:p>
    <w:p w:rsidR="003F24FA" w:rsidRPr="006D7F00" w:rsidRDefault="003F24FA" w:rsidP="00656B79">
      <w:pPr>
        <w:spacing w:after="240" w:line="240" w:lineRule="auto"/>
        <w:jc w:val="center"/>
        <w:rPr>
          <w:rFonts w:ascii="Calibri" w:hAnsi="Calibri"/>
          <w:b/>
          <w:sz w:val="24"/>
          <w:szCs w:val="24"/>
        </w:rPr>
      </w:pPr>
      <w:r w:rsidRPr="006D7F00">
        <w:rPr>
          <w:rFonts w:ascii="Calibri" w:hAnsi="Calibri"/>
          <w:b/>
          <w:sz w:val="24"/>
          <w:szCs w:val="24"/>
        </w:rPr>
        <w:t>Έρευνα Εργατικού Δυναμικού</w:t>
      </w:r>
    </w:p>
    <w:tbl>
      <w:tblPr>
        <w:tblStyle w:val="TableGrid"/>
        <w:tblW w:w="0" w:type="auto"/>
        <w:tblLook w:val="04A0" w:firstRow="1" w:lastRow="0" w:firstColumn="1" w:lastColumn="0" w:noHBand="0" w:noVBand="1"/>
      </w:tblPr>
      <w:tblGrid>
        <w:gridCol w:w="2130"/>
        <w:gridCol w:w="2130"/>
        <w:gridCol w:w="2131"/>
        <w:gridCol w:w="2131"/>
      </w:tblGrid>
      <w:tr w:rsidR="003F24FA" w:rsidTr="003F24FA">
        <w:trPr>
          <w:trHeight w:val="967"/>
        </w:trPr>
        <w:tc>
          <w:tcPr>
            <w:tcW w:w="2130" w:type="dxa"/>
          </w:tcPr>
          <w:p w:rsidR="003F24FA" w:rsidRDefault="003F24FA" w:rsidP="006D7F00">
            <w:pPr>
              <w:spacing w:after="240"/>
              <w:jc w:val="both"/>
              <w:rPr>
                <w:rFonts w:ascii="Calibri" w:hAnsi="Calibri"/>
                <w:sz w:val="24"/>
                <w:szCs w:val="24"/>
              </w:rPr>
            </w:pPr>
          </w:p>
        </w:tc>
        <w:tc>
          <w:tcPr>
            <w:tcW w:w="2130" w:type="dxa"/>
          </w:tcPr>
          <w:p w:rsidR="003F24FA" w:rsidRPr="006D7F00" w:rsidRDefault="003F24FA" w:rsidP="006D7F00">
            <w:pPr>
              <w:spacing w:after="240"/>
              <w:jc w:val="center"/>
              <w:rPr>
                <w:rFonts w:ascii="Calibri" w:hAnsi="Calibri"/>
                <w:b/>
                <w:sz w:val="24"/>
                <w:szCs w:val="24"/>
              </w:rPr>
            </w:pPr>
            <w:r w:rsidRPr="006D7F00">
              <w:rPr>
                <w:rFonts w:ascii="Calibri" w:hAnsi="Calibri"/>
                <w:b/>
                <w:sz w:val="24"/>
                <w:szCs w:val="24"/>
              </w:rPr>
              <w:t>Ποσοστό ανεργίας</w:t>
            </w:r>
          </w:p>
          <w:p w:rsidR="003F24FA" w:rsidRPr="006D7F00" w:rsidRDefault="003F24FA" w:rsidP="006D7F00">
            <w:pPr>
              <w:spacing w:after="240"/>
              <w:jc w:val="center"/>
              <w:rPr>
                <w:rFonts w:ascii="Calibri" w:hAnsi="Calibri"/>
                <w:b/>
                <w:sz w:val="24"/>
                <w:szCs w:val="24"/>
              </w:rPr>
            </w:pPr>
            <w:r w:rsidRPr="006D7F00">
              <w:rPr>
                <w:rFonts w:ascii="Calibri" w:hAnsi="Calibri"/>
                <w:b/>
                <w:sz w:val="24"/>
                <w:szCs w:val="24"/>
              </w:rPr>
              <w:t>(ηλικίες 15+)</w:t>
            </w:r>
          </w:p>
        </w:tc>
        <w:tc>
          <w:tcPr>
            <w:tcW w:w="2131" w:type="dxa"/>
          </w:tcPr>
          <w:p w:rsidR="003F24FA" w:rsidRPr="006D7F00" w:rsidRDefault="003F24FA" w:rsidP="006D7F00">
            <w:pPr>
              <w:spacing w:after="240"/>
              <w:jc w:val="center"/>
              <w:rPr>
                <w:rFonts w:ascii="Calibri" w:hAnsi="Calibri"/>
                <w:b/>
                <w:sz w:val="24"/>
                <w:szCs w:val="24"/>
              </w:rPr>
            </w:pPr>
            <w:r w:rsidRPr="006D7F00">
              <w:rPr>
                <w:rFonts w:ascii="Calibri" w:hAnsi="Calibri"/>
                <w:b/>
                <w:sz w:val="24"/>
                <w:szCs w:val="24"/>
              </w:rPr>
              <w:t>Ποσοστό ανεργίας στους νέους (ηλικίες 15-24)</w:t>
            </w:r>
          </w:p>
        </w:tc>
        <w:tc>
          <w:tcPr>
            <w:tcW w:w="2131" w:type="dxa"/>
          </w:tcPr>
          <w:p w:rsidR="003F24FA" w:rsidRPr="006D7F00" w:rsidRDefault="003F24FA" w:rsidP="006D7F00">
            <w:pPr>
              <w:spacing w:after="240"/>
              <w:jc w:val="center"/>
              <w:rPr>
                <w:rFonts w:ascii="Calibri" w:hAnsi="Calibri"/>
                <w:b/>
                <w:sz w:val="24"/>
                <w:szCs w:val="24"/>
              </w:rPr>
            </w:pPr>
            <w:r w:rsidRPr="006D7F00">
              <w:rPr>
                <w:rFonts w:ascii="Calibri" w:hAnsi="Calibri"/>
                <w:b/>
                <w:sz w:val="24"/>
                <w:szCs w:val="24"/>
              </w:rPr>
              <w:t>Μακροπρόθεσμη ανεργία</w:t>
            </w:r>
            <w:r w:rsidR="00656B79">
              <w:rPr>
                <w:rFonts w:ascii="Calibri" w:hAnsi="Calibri"/>
                <w:b/>
                <w:sz w:val="24"/>
                <w:szCs w:val="24"/>
              </w:rPr>
              <w:t>- % στο εργατικό δυναμικό</w:t>
            </w:r>
          </w:p>
        </w:tc>
      </w:tr>
      <w:tr w:rsidR="003F24FA" w:rsidTr="003F24FA">
        <w:tc>
          <w:tcPr>
            <w:tcW w:w="2130" w:type="dxa"/>
          </w:tcPr>
          <w:p w:rsidR="003F24FA" w:rsidRDefault="00506BB8" w:rsidP="006D7F00">
            <w:pPr>
              <w:spacing w:after="240"/>
              <w:jc w:val="both"/>
              <w:rPr>
                <w:rFonts w:ascii="Calibri" w:hAnsi="Calibri"/>
                <w:sz w:val="24"/>
                <w:szCs w:val="24"/>
              </w:rPr>
            </w:pPr>
            <w:r>
              <w:rPr>
                <w:rFonts w:ascii="Calibri" w:hAnsi="Calibri"/>
                <w:sz w:val="24"/>
                <w:szCs w:val="24"/>
              </w:rPr>
              <w:t>2013</w:t>
            </w:r>
          </w:p>
        </w:tc>
        <w:tc>
          <w:tcPr>
            <w:tcW w:w="2130" w:type="dxa"/>
          </w:tcPr>
          <w:p w:rsidR="003F24FA" w:rsidRDefault="006D7F00" w:rsidP="006D7F00">
            <w:pPr>
              <w:spacing w:after="240"/>
              <w:jc w:val="both"/>
              <w:rPr>
                <w:rFonts w:ascii="Calibri" w:hAnsi="Calibri"/>
                <w:sz w:val="24"/>
                <w:szCs w:val="24"/>
              </w:rPr>
            </w:pPr>
            <w:r>
              <w:rPr>
                <w:rFonts w:ascii="Calibri" w:hAnsi="Calibri"/>
                <w:sz w:val="24"/>
                <w:szCs w:val="24"/>
              </w:rPr>
              <w:t>15,9</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38,9</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6,1</w:t>
            </w:r>
          </w:p>
        </w:tc>
      </w:tr>
      <w:tr w:rsidR="003F24FA" w:rsidTr="003F24FA">
        <w:tc>
          <w:tcPr>
            <w:tcW w:w="2130" w:type="dxa"/>
          </w:tcPr>
          <w:p w:rsidR="003F24FA" w:rsidRDefault="00506BB8" w:rsidP="006D7F00">
            <w:pPr>
              <w:spacing w:after="240"/>
              <w:jc w:val="both"/>
              <w:rPr>
                <w:rFonts w:ascii="Calibri" w:hAnsi="Calibri"/>
                <w:sz w:val="24"/>
                <w:szCs w:val="24"/>
              </w:rPr>
            </w:pPr>
            <w:r>
              <w:rPr>
                <w:rFonts w:ascii="Calibri" w:hAnsi="Calibri"/>
                <w:sz w:val="24"/>
                <w:szCs w:val="24"/>
              </w:rPr>
              <w:t>2014</w:t>
            </w:r>
          </w:p>
        </w:tc>
        <w:tc>
          <w:tcPr>
            <w:tcW w:w="2130" w:type="dxa"/>
          </w:tcPr>
          <w:p w:rsidR="003F24FA" w:rsidRDefault="006D7F00" w:rsidP="006D7F00">
            <w:pPr>
              <w:spacing w:after="240"/>
              <w:jc w:val="both"/>
              <w:rPr>
                <w:rFonts w:ascii="Calibri" w:hAnsi="Calibri"/>
                <w:sz w:val="24"/>
                <w:szCs w:val="24"/>
              </w:rPr>
            </w:pPr>
            <w:r>
              <w:rPr>
                <w:rFonts w:ascii="Calibri" w:hAnsi="Calibri"/>
                <w:sz w:val="24"/>
                <w:szCs w:val="24"/>
              </w:rPr>
              <w:t>16,1</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36,0</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7,7</w:t>
            </w:r>
          </w:p>
        </w:tc>
      </w:tr>
      <w:tr w:rsidR="003F24FA" w:rsidTr="003F24FA">
        <w:tc>
          <w:tcPr>
            <w:tcW w:w="2130" w:type="dxa"/>
          </w:tcPr>
          <w:p w:rsidR="003F24FA" w:rsidRDefault="006D7F00" w:rsidP="006D7F00">
            <w:pPr>
              <w:spacing w:after="240"/>
              <w:jc w:val="both"/>
              <w:rPr>
                <w:rFonts w:ascii="Calibri" w:hAnsi="Calibri"/>
                <w:sz w:val="24"/>
                <w:szCs w:val="24"/>
              </w:rPr>
            </w:pPr>
            <w:r>
              <w:rPr>
                <w:rFonts w:ascii="Calibri" w:hAnsi="Calibri"/>
                <w:sz w:val="24"/>
                <w:szCs w:val="24"/>
              </w:rPr>
              <w:t>2015</w:t>
            </w:r>
          </w:p>
        </w:tc>
        <w:tc>
          <w:tcPr>
            <w:tcW w:w="2130" w:type="dxa"/>
          </w:tcPr>
          <w:p w:rsidR="003F24FA" w:rsidRDefault="006D7F00" w:rsidP="006D7F00">
            <w:pPr>
              <w:spacing w:after="240"/>
              <w:jc w:val="both"/>
              <w:rPr>
                <w:rFonts w:ascii="Calibri" w:hAnsi="Calibri"/>
                <w:sz w:val="24"/>
                <w:szCs w:val="24"/>
              </w:rPr>
            </w:pPr>
            <w:r>
              <w:rPr>
                <w:rFonts w:ascii="Calibri" w:hAnsi="Calibri"/>
                <w:sz w:val="24"/>
                <w:szCs w:val="24"/>
              </w:rPr>
              <w:t>14,9</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32,8</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6,8</w:t>
            </w:r>
          </w:p>
        </w:tc>
      </w:tr>
      <w:tr w:rsidR="003F24FA" w:rsidTr="003F24FA">
        <w:tc>
          <w:tcPr>
            <w:tcW w:w="2130" w:type="dxa"/>
          </w:tcPr>
          <w:p w:rsidR="003F24FA" w:rsidRDefault="006D7F00" w:rsidP="006D7F00">
            <w:pPr>
              <w:spacing w:after="240"/>
              <w:jc w:val="both"/>
              <w:rPr>
                <w:rFonts w:ascii="Calibri" w:hAnsi="Calibri"/>
                <w:sz w:val="24"/>
                <w:szCs w:val="24"/>
              </w:rPr>
            </w:pPr>
            <w:r>
              <w:rPr>
                <w:rFonts w:ascii="Calibri" w:hAnsi="Calibri"/>
                <w:sz w:val="24"/>
                <w:szCs w:val="24"/>
              </w:rPr>
              <w:t>2016</w:t>
            </w:r>
          </w:p>
        </w:tc>
        <w:tc>
          <w:tcPr>
            <w:tcW w:w="2130" w:type="dxa"/>
          </w:tcPr>
          <w:p w:rsidR="003F24FA" w:rsidRDefault="006D7F00" w:rsidP="006D7F00">
            <w:pPr>
              <w:spacing w:after="240"/>
              <w:jc w:val="both"/>
              <w:rPr>
                <w:rFonts w:ascii="Calibri" w:hAnsi="Calibri"/>
                <w:sz w:val="24"/>
                <w:szCs w:val="24"/>
              </w:rPr>
            </w:pPr>
            <w:r>
              <w:rPr>
                <w:rFonts w:ascii="Calibri" w:hAnsi="Calibri"/>
                <w:sz w:val="24"/>
                <w:szCs w:val="24"/>
              </w:rPr>
              <w:t>12,9</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29,1</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5,8</w:t>
            </w:r>
          </w:p>
        </w:tc>
      </w:tr>
      <w:tr w:rsidR="003F24FA" w:rsidTr="003F24FA">
        <w:tc>
          <w:tcPr>
            <w:tcW w:w="2130" w:type="dxa"/>
          </w:tcPr>
          <w:p w:rsidR="003F24FA" w:rsidRDefault="006D7F00" w:rsidP="006D7F00">
            <w:pPr>
              <w:spacing w:after="240"/>
              <w:jc w:val="both"/>
              <w:rPr>
                <w:rFonts w:ascii="Calibri" w:hAnsi="Calibri"/>
                <w:sz w:val="24"/>
                <w:szCs w:val="24"/>
              </w:rPr>
            </w:pPr>
            <w:r>
              <w:rPr>
                <w:rFonts w:ascii="Calibri" w:hAnsi="Calibri"/>
                <w:sz w:val="24"/>
                <w:szCs w:val="24"/>
              </w:rPr>
              <w:t>2017</w:t>
            </w:r>
          </w:p>
        </w:tc>
        <w:tc>
          <w:tcPr>
            <w:tcW w:w="2130" w:type="dxa"/>
          </w:tcPr>
          <w:p w:rsidR="003F24FA" w:rsidRDefault="006D7F00" w:rsidP="00656B79">
            <w:pPr>
              <w:spacing w:after="240"/>
              <w:jc w:val="both"/>
              <w:rPr>
                <w:rFonts w:ascii="Calibri" w:hAnsi="Calibri"/>
                <w:sz w:val="24"/>
                <w:szCs w:val="24"/>
              </w:rPr>
            </w:pPr>
            <w:r>
              <w:rPr>
                <w:rFonts w:ascii="Calibri" w:hAnsi="Calibri"/>
                <w:sz w:val="24"/>
                <w:szCs w:val="24"/>
              </w:rPr>
              <w:t>11,</w:t>
            </w:r>
            <w:r w:rsidR="00656B79">
              <w:rPr>
                <w:rFonts w:ascii="Calibri" w:hAnsi="Calibri"/>
                <w:sz w:val="24"/>
                <w:szCs w:val="24"/>
              </w:rPr>
              <w:t>1</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24,7</w:t>
            </w:r>
          </w:p>
        </w:tc>
        <w:tc>
          <w:tcPr>
            <w:tcW w:w="2131" w:type="dxa"/>
          </w:tcPr>
          <w:p w:rsidR="003F24FA" w:rsidRDefault="006D7F00" w:rsidP="006D7F00">
            <w:pPr>
              <w:spacing w:after="240"/>
              <w:jc w:val="both"/>
              <w:rPr>
                <w:rFonts w:ascii="Calibri" w:hAnsi="Calibri"/>
                <w:sz w:val="24"/>
                <w:szCs w:val="24"/>
              </w:rPr>
            </w:pPr>
            <w:r>
              <w:rPr>
                <w:rFonts w:ascii="Calibri" w:hAnsi="Calibri"/>
                <w:sz w:val="24"/>
                <w:szCs w:val="24"/>
              </w:rPr>
              <w:t>4,5</w:t>
            </w:r>
          </w:p>
        </w:tc>
      </w:tr>
      <w:tr w:rsidR="003F24FA" w:rsidTr="003F24FA">
        <w:tc>
          <w:tcPr>
            <w:tcW w:w="2130" w:type="dxa"/>
          </w:tcPr>
          <w:p w:rsidR="003F24FA" w:rsidRDefault="006D7F00" w:rsidP="006D7F00">
            <w:pPr>
              <w:spacing w:after="240"/>
              <w:jc w:val="both"/>
              <w:rPr>
                <w:rFonts w:ascii="Calibri" w:hAnsi="Calibri"/>
                <w:sz w:val="24"/>
                <w:szCs w:val="24"/>
              </w:rPr>
            </w:pPr>
            <w:r>
              <w:rPr>
                <w:rFonts w:ascii="Calibri" w:hAnsi="Calibri"/>
                <w:sz w:val="24"/>
                <w:szCs w:val="24"/>
              </w:rPr>
              <w:t>2018</w:t>
            </w:r>
          </w:p>
        </w:tc>
        <w:tc>
          <w:tcPr>
            <w:tcW w:w="2130" w:type="dxa"/>
          </w:tcPr>
          <w:p w:rsidR="003F24FA" w:rsidRDefault="00656B79" w:rsidP="006D7F00">
            <w:pPr>
              <w:spacing w:after="240"/>
              <w:jc w:val="both"/>
              <w:rPr>
                <w:rFonts w:ascii="Calibri" w:hAnsi="Calibri"/>
                <w:sz w:val="24"/>
                <w:szCs w:val="24"/>
              </w:rPr>
            </w:pPr>
            <w:r>
              <w:rPr>
                <w:rFonts w:ascii="Calibri" w:hAnsi="Calibri"/>
                <w:sz w:val="24"/>
                <w:szCs w:val="24"/>
              </w:rPr>
              <w:t>8,4</w:t>
            </w:r>
          </w:p>
        </w:tc>
        <w:tc>
          <w:tcPr>
            <w:tcW w:w="2131" w:type="dxa"/>
          </w:tcPr>
          <w:p w:rsidR="003F24FA" w:rsidRDefault="00656B79" w:rsidP="006D7F00">
            <w:pPr>
              <w:spacing w:after="240"/>
              <w:jc w:val="both"/>
              <w:rPr>
                <w:rFonts w:ascii="Calibri" w:hAnsi="Calibri"/>
                <w:sz w:val="24"/>
                <w:szCs w:val="24"/>
              </w:rPr>
            </w:pPr>
            <w:r>
              <w:rPr>
                <w:rFonts w:ascii="Calibri" w:hAnsi="Calibri"/>
                <w:sz w:val="24"/>
                <w:szCs w:val="24"/>
              </w:rPr>
              <w:t>20,2</w:t>
            </w:r>
          </w:p>
        </w:tc>
        <w:tc>
          <w:tcPr>
            <w:tcW w:w="2131" w:type="dxa"/>
          </w:tcPr>
          <w:p w:rsidR="003F24FA" w:rsidRDefault="00656B79" w:rsidP="006D7F00">
            <w:pPr>
              <w:spacing w:after="240"/>
              <w:jc w:val="both"/>
              <w:rPr>
                <w:rFonts w:ascii="Calibri" w:hAnsi="Calibri"/>
                <w:sz w:val="24"/>
                <w:szCs w:val="24"/>
              </w:rPr>
            </w:pPr>
            <w:r>
              <w:rPr>
                <w:rFonts w:ascii="Calibri" w:hAnsi="Calibri"/>
                <w:sz w:val="24"/>
                <w:szCs w:val="24"/>
              </w:rPr>
              <w:t>2,7</w:t>
            </w:r>
          </w:p>
        </w:tc>
      </w:tr>
    </w:tbl>
    <w:p w:rsidR="00E15797" w:rsidRDefault="00E15797" w:rsidP="00311B33">
      <w:pPr>
        <w:spacing w:after="240"/>
        <w:jc w:val="both"/>
        <w:rPr>
          <w:rFonts w:ascii="Calibri" w:hAnsi="Calibri"/>
          <w:sz w:val="24"/>
          <w:szCs w:val="24"/>
        </w:rPr>
      </w:pPr>
    </w:p>
    <w:p w:rsidR="00E15797" w:rsidRPr="00E15797" w:rsidRDefault="00E15797" w:rsidP="00311B33">
      <w:pPr>
        <w:spacing w:after="240"/>
        <w:jc w:val="both"/>
        <w:rPr>
          <w:rFonts w:ascii="Calibri" w:hAnsi="Calibri"/>
          <w:sz w:val="24"/>
          <w:szCs w:val="24"/>
        </w:rPr>
      </w:pPr>
    </w:p>
    <w:p w:rsidR="00B92C8A" w:rsidRPr="00DA4A7C" w:rsidRDefault="00B92C8A" w:rsidP="00B92C8A">
      <w:pPr>
        <w:pStyle w:val="ListParagraph"/>
        <w:numPr>
          <w:ilvl w:val="0"/>
          <w:numId w:val="5"/>
        </w:numPr>
        <w:rPr>
          <w:rFonts w:ascii="Calibri" w:hAnsi="Calibri"/>
          <w:sz w:val="26"/>
          <w:szCs w:val="26"/>
          <w:lang w:val="el-GR"/>
        </w:rPr>
      </w:pPr>
      <w:r w:rsidRPr="00E15797">
        <w:rPr>
          <w:rFonts w:ascii="Calibri" w:hAnsi="Calibri"/>
          <w:lang w:val="el-GR"/>
        </w:rPr>
        <w:br w:type="page"/>
      </w:r>
      <w:r w:rsidR="00DA4A7C" w:rsidRPr="009B7BBA">
        <w:rPr>
          <w:rFonts w:asciiTheme="minorHAnsi" w:eastAsia="Calibri" w:hAnsiTheme="minorHAnsi" w:cs="Arial"/>
          <w:sz w:val="26"/>
          <w:szCs w:val="26"/>
          <w:lang w:val="el-GR"/>
        </w:rPr>
        <w:lastRenderedPageBreak/>
        <w:t xml:space="preserve">Ανάλυση </w:t>
      </w:r>
      <w:r w:rsidR="00DA4A7C">
        <w:rPr>
          <w:rFonts w:asciiTheme="minorHAnsi" w:eastAsia="Calibri" w:hAnsiTheme="minorHAnsi" w:cs="Arial"/>
          <w:sz w:val="26"/>
          <w:szCs w:val="26"/>
          <w:lang w:val="el-GR"/>
        </w:rPr>
        <w:t>Ε</w:t>
      </w:r>
      <w:r w:rsidR="00DA4A7C" w:rsidRPr="009B7BBA">
        <w:rPr>
          <w:rFonts w:asciiTheme="minorHAnsi" w:eastAsia="Calibri" w:hAnsiTheme="minorHAnsi" w:cs="Arial"/>
          <w:sz w:val="26"/>
          <w:szCs w:val="26"/>
          <w:lang w:val="el-GR"/>
        </w:rPr>
        <w:t xml:space="preserve">τήσιων </w:t>
      </w:r>
      <w:r w:rsidR="00DA4A7C">
        <w:rPr>
          <w:rFonts w:asciiTheme="minorHAnsi" w:eastAsia="Calibri" w:hAnsiTheme="minorHAnsi" w:cs="Arial"/>
          <w:sz w:val="26"/>
          <w:szCs w:val="26"/>
          <w:lang w:val="el-GR"/>
        </w:rPr>
        <w:t>Στατιστικών Σ</w:t>
      </w:r>
      <w:r w:rsidR="00DA4A7C" w:rsidRPr="009B7BBA">
        <w:rPr>
          <w:rFonts w:asciiTheme="minorHAnsi" w:eastAsia="Calibri" w:hAnsiTheme="minorHAnsi" w:cs="Arial"/>
          <w:sz w:val="26"/>
          <w:szCs w:val="26"/>
          <w:lang w:val="el-GR"/>
        </w:rPr>
        <w:t xml:space="preserve">τοιχείων </w:t>
      </w:r>
      <w:r w:rsidR="00DA4A7C">
        <w:rPr>
          <w:rFonts w:asciiTheme="minorHAnsi" w:eastAsia="Calibri" w:hAnsiTheme="minorHAnsi" w:cs="Arial"/>
          <w:sz w:val="26"/>
          <w:szCs w:val="26"/>
          <w:lang w:val="el-GR"/>
        </w:rPr>
        <w:t>Ε</w:t>
      </w:r>
      <w:r w:rsidR="00DA4A7C" w:rsidRPr="009B7BBA">
        <w:rPr>
          <w:rFonts w:asciiTheme="minorHAnsi" w:eastAsia="Calibri" w:hAnsiTheme="minorHAnsi" w:cs="Arial"/>
          <w:sz w:val="26"/>
          <w:szCs w:val="26"/>
          <w:lang w:val="el-GR"/>
        </w:rPr>
        <w:t xml:space="preserve">γγεγραμμένης </w:t>
      </w:r>
      <w:r w:rsidR="00DA4A7C">
        <w:rPr>
          <w:rFonts w:asciiTheme="minorHAnsi" w:eastAsia="Calibri" w:hAnsiTheme="minorHAnsi" w:cs="Arial"/>
          <w:sz w:val="26"/>
          <w:szCs w:val="26"/>
          <w:lang w:val="el-GR"/>
        </w:rPr>
        <w:t>Α</w:t>
      </w:r>
      <w:r w:rsidR="00DA4A7C" w:rsidRPr="009B7BBA">
        <w:rPr>
          <w:rFonts w:asciiTheme="minorHAnsi" w:eastAsia="Calibri" w:hAnsiTheme="minorHAnsi" w:cs="Arial"/>
          <w:sz w:val="26"/>
          <w:szCs w:val="26"/>
          <w:lang w:val="el-GR"/>
        </w:rPr>
        <w:t>νεργίας</w:t>
      </w:r>
      <w:r w:rsidR="00DA4A7C" w:rsidRPr="00DA4A7C">
        <w:rPr>
          <w:rFonts w:ascii="Calibri" w:hAnsi="Calibri"/>
          <w:sz w:val="26"/>
          <w:szCs w:val="26"/>
          <w:lang w:val="el-GR"/>
        </w:rPr>
        <w:t xml:space="preserve"> </w:t>
      </w:r>
      <w:r w:rsidRPr="00DA4A7C">
        <w:rPr>
          <w:rFonts w:ascii="Calibri" w:hAnsi="Calibri"/>
          <w:sz w:val="26"/>
          <w:szCs w:val="26"/>
          <w:lang w:val="el-GR"/>
        </w:rPr>
        <w:t>2018</w:t>
      </w:r>
      <w:r w:rsidR="006E30B0">
        <w:rPr>
          <w:rStyle w:val="FootnoteReference"/>
          <w:rFonts w:ascii="Calibri" w:hAnsi="Calibri"/>
          <w:sz w:val="26"/>
          <w:szCs w:val="26"/>
        </w:rPr>
        <w:footnoteReference w:id="2"/>
      </w:r>
    </w:p>
    <w:p w:rsidR="00B92C8A" w:rsidRPr="00B92C8A" w:rsidRDefault="00B92C8A" w:rsidP="00B92C8A">
      <w:pPr>
        <w:spacing w:after="240"/>
        <w:jc w:val="both"/>
        <w:rPr>
          <w:rFonts w:ascii="Calibri" w:hAnsi="Calibri"/>
          <w:sz w:val="24"/>
          <w:szCs w:val="24"/>
        </w:rPr>
      </w:pPr>
    </w:p>
    <w:p w:rsidR="00B92C8A" w:rsidRDefault="00B92C8A" w:rsidP="00B92C8A">
      <w:pPr>
        <w:spacing w:after="240"/>
        <w:jc w:val="both"/>
        <w:rPr>
          <w:rFonts w:ascii="Calibri" w:hAnsi="Calibri"/>
          <w:sz w:val="24"/>
          <w:szCs w:val="24"/>
        </w:rPr>
      </w:pPr>
      <w:r>
        <w:rPr>
          <w:rFonts w:ascii="Calibri" w:hAnsi="Calibri"/>
          <w:sz w:val="24"/>
          <w:szCs w:val="24"/>
        </w:rPr>
        <w:t>Η εγγεγραμμένη ανεργία το 2018 έφτασε κατά μέσο όρο στα 26.766 άτομα ενώ το 2017 ήταν 33.681 άτομα. Παρουσιάστηκε δηλαδή μείωση 6.915 προσώπων ή 2</w:t>
      </w:r>
      <w:r w:rsidR="00FE1F62">
        <w:rPr>
          <w:rFonts w:ascii="Calibri" w:hAnsi="Calibri"/>
          <w:sz w:val="24"/>
          <w:szCs w:val="24"/>
        </w:rPr>
        <w:t>6</w:t>
      </w:r>
      <w:r>
        <w:rPr>
          <w:rFonts w:ascii="Calibri" w:hAnsi="Calibri"/>
          <w:sz w:val="24"/>
          <w:szCs w:val="24"/>
        </w:rPr>
        <w:t>%. Κατά φύλο, οι γυναίκες αριθμούσαν 14.662 άτομα ή 55% ενώ οι άντρες 12.104 άτομα ή 45%.</w:t>
      </w:r>
    </w:p>
    <w:p w:rsidR="00B92C8A" w:rsidRDefault="00B92C8A" w:rsidP="00B92C8A">
      <w:pPr>
        <w:spacing w:after="240"/>
        <w:jc w:val="both"/>
        <w:rPr>
          <w:rFonts w:ascii="Calibri" w:hAnsi="Calibri"/>
          <w:sz w:val="24"/>
          <w:szCs w:val="24"/>
        </w:rPr>
      </w:pPr>
      <w:r>
        <w:rPr>
          <w:rFonts w:ascii="Calibri" w:hAnsi="Calibri"/>
          <w:sz w:val="24"/>
          <w:szCs w:val="24"/>
        </w:rPr>
        <w:t>Κατά επαρχία, η Λευκωσία συγκεντρώνει τον μεγαλύτερο αριθμό εγγεγραμμένων ανέργων (8.598 άτομα ή 32%), ακολουθεί η επαρχία Λεμεσού (7.316 άτομα ή 27%), η Λάρνακα</w:t>
      </w:r>
      <w:r w:rsidR="00E45C8D">
        <w:rPr>
          <w:rFonts w:ascii="Calibri" w:hAnsi="Calibri"/>
          <w:sz w:val="24"/>
          <w:szCs w:val="24"/>
        </w:rPr>
        <w:t xml:space="preserve"> (4.358 άτομα ή 16%</w:t>
      </w:r>
      <w:r w:rsidR="007C6ACD">
        <w:rPr>
          <w:rFonts w:ascii="Calibri" w:hAnsi="Calibri"/>
          <w:sz w:val="24"/>
          <w:szCs w:val="24"/>
        </w:rPr>
        <w:t>)</w:t>
      </w:r>
      <w:r w:rsidR="00E45C8D">
        <w:rPr>
          <w:rFonts w:ascii="Calibri" w:hAnsi="Calibri"/>
          <w:sz w:val="24"/>
          <w:szCs w:val="24"/>
        </w:rPr>
        <w:t>, η Πάφος (3.655 άτομα ή 14%) και τέλος η Αμμόχωστος (2.839 άτομα ή 11%).</w:t>
      </w:r>
    </w:p>
    <w:p w:rsidR="00F419DB" w:rsidRPr="00D47D52" w:rsidRDefault="00F419DB" w:rsidP="00B92C8A">
      <w:pPr>
        <w:spacing w:after="240"/>
        <w:jc w:val="both"/>
        <w:rPr>
          <w:rFonts w:ascii="Calibri" w:hAnsi="Calibri"/>
          <w:sz w:val="16"/>
          <w:szCs w:val="16"/>
        </w:rPr>
      </w:pPr>
    </w:p>
    <w:p w:rsidR="002C7E58" w:rsidRDefault="002C7E58" w:rsidP="00B92C8A">
      <w:pPr>
        <w:spacing w:after="240"/>
        <w:jc w:val="both"/>
        <w:rPr>
          <w:rFonts w:ascii="Calibri" w:hAnsi="Calibri"/>
          <w:sz w:val="24"/>
          <w:szCs w:val="24"/>
        </w:rPr>
      </w:pPr>
      <w:r>
        <w:rPr>
          <w:noProof/>
          <w:lang w:val="en-US"/>
        </w:rPr>
        <w:drawing>
          <wp:inline distT="0" distB="0" distL="0" distR="0" wp14:anchorId="5C5C4C4F" wp14:editId="5BE850E2">
            <wp:extent cx="5276850" cy="27908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0378" w:rsidRDefault="007A7236" w:rsidP="00B92C8A">
      <w:pPr>
        <w:spacing w:after="240"/>
        <w:jc w:val="both"/>
        <w:rPr>
          <w:rFonts w:ascii="Calibri" w:hAnsi="Calibri"/>
          <w:sz w:val="24"/>
          <w:szCs w:val="24"/>
        </w:rPr>
      </w:pPr>
      <w:r>
        <w:rPr>
          <w:rFonts w:ascii="Calibri" w:hAnsi="Calibri"/>
          <w:sz w:val="24"/>
          <w:szCs w:val="24"/>
        </w:rPr>
        <w:t xml:space="preserve">Κατά ηλικία, οι περισσότεροι εγγεγραμμένοι άνεργοι συγκεντρώνονταν στις ηλικίες 30-39 χρονών </w:t>
      </w:r>
      <w:r w:rsidR="00090378">
        <w:rPr>
          <w:rFonts w:ascii="Calibri" w:hAnsi="Calibri"/>
          <w:sz w:val="24"/>
          <w:szCs w:val="24"/>
        </w:rPr>
        <w:t xml:space="preserve">(6.819 άτομα ή 26%) και ακολούθως </w:t>
      </w:r>
      <w:r w:rsidR="00FE1F62">
        <w:rPr>
          <w:rFonts w:ascii="Calibri" w:hAnsi="Calibri"/>
          <w:sz w:val="24"/>
          <w:szCs w:val="24"/>
        </w:rPr>
        <w:t>στις</w:t>
      </w:r>
      <w:r w:rsidR="00090378">
        <w:rPr>
          <w:rFonts w:ascii="Calibri" w:hAnsi="Calibri"/>
          <w:sz w:val="24"/>
          <w:szCs w:val="24"/>
        </w:rPr>
        <w:t xml:space="preserve"> ηλικίες 40-49 χρόνων (5.608 άτομα ή 21%), </w:t>
      </w:r>
      <w:r w:rsidR="00FE1F62">
        <w:rPr>
          <w:rFonts w:ascii="Calibri" w:hAnsi="Calibri"/>
          <w:sz w:val="24"/>
          <w:szCs w:val="24"/>
        </w:rPr>
        <w:t>στις</w:t>
      </w:r>
      <w:r w:rsidR="007C6ACD">
        <w:rPr>
          <w:rFonts w:ascii="Calibri" w:hAnsi="Calibri"/>
          <w:sz w:val="24"/>
          <w:szCs w:val="24"/>
        </w:rPr>
        <w:t xml:space="preserve"> ηλικίες </w:t>
      </w:r>
      <w:r w:rsidR="00090378">
        <w:rPr>
          <w:rFonts w:ascii="Calibri" w:hAnsi="Calibri"/>
          <w:sz w:val="24"/>
          <w:szCs w:val="24"/>
        </w:rPr>
        <w:t xml:space="preserve">50 -59  χρόνων (4.987 άτομα ή 19%), </w:t>
      </w:r>
      <w:r w:rsidR="00FE1F62">
        <w:rPr>
          <w:rFonts w:ascii="Calibri" w:hAnsi="Calibri"/>
          <w:sz w:val="24"/>
          <w:szCs w:val="24"/>
        </w:rPr>
        <w:t>στις</w:t>
      </w:r>
      <w:r w:rsidR="007C6ACD">
        <w:rPr>
          <w:rFonts w:ascii="Calibri" w:hAnsi="Calibri"/>
          <w:sz w:val="24"/>
          <w:szCs w:val="24"/>
        </w:rPr>
        <w:t xml:space="preserve"> ηλικίες </w:t>
      </w:r>
      <w:r w:rsidR="00090378">
        <w:rPr>
          <w:rFonts w:ascii="Calibri" w:hAnsi="Calibri"/>
          <w:sz w:val="24"/>
          <w:szCs w:val="24"/>
        </w:rPr>
        <w:t xml:space="preserve">25-29 χρόνων (4.639 άτομα ή 17%), </w:t>
      </w:r>
      <w:r w:rsidR="00FE1F62">
        <w:rPr>
          <w:rFonts w:ascii="Calibri" w:hAnsi="Calibri"/>
          <w:sz w:val="24"/>
          <w:szCs w:val="24"/>
        </w:rPr>
        <w:t>στις</w:t>
      </w:r>
      <w:r w:rsidR="007C6ACD">
        <w:rPr>
          <w:rFonts w:ascii="Calibri" w:hAnsi="Calibri"/>
          <w:sz w:val="24"/>
          <w:szCs w:val="24"/>
        </w:rPr>
        <w:t xml:space="preserve"> ηλικίες </w:t>
      </w:r>
      <w:r w:rsidR="00090378">
        <w:rPr>
          <w:rFonts w:ascii="Calibri" w:hAnsi="Calibri"/>
          <w:sz w:val="24"/>
          <w:szCs w:val="24"/>
        </w:rPr>
        <w:t>15-24 χρόνων (2.217 άτομα ή 9%) και πάνω από 60 χρονών (1.977 άτομα ή 7%).</w:t>
      </w:r>
    </w:p>
    <w:p w:rsidR="00090378" w:rsidRPr="00E15797" w:rsidRDefault="00090378" w:rsidP="00B92C8A">
      <w:pPr>
        <w:spacing w:after="240"/>
        <w:jc w:val="both"/>
        <w:rPr>
          <w:rFonts w:ascii="Calibri" w:hAnsi="Calibri"/>
          <w:sz w:val="24"/>
          <w:szCs w:val="24"/>
        </w:rPr>
      </w:pPr>
      <w:r>
        <w:rPr>
          <w:rFonts w:ascii="Calibri" w:hAnsi="Calibri"/>
          <w:sz w:val="24"/>
          <w:szCs w:val="24"/>
        </w:rPr>
        <w:t xml:space="preserve">Κατά μορφωτικό επίπεδο, </w:t>
      </w:r>
      <w:r w:rsidR="001C40FA">
        <w:rPr>
          <w:rFonts w:ascii="Calibri" w:hAnsi="Calibri"/>
          <w:sz w:val="24"/>
          <w:szCs w:val="24"/>
        </w:rPr>
        <w:t>οι μισοί από τους εγγεγραμμένους ανέργους ήταν απόφοιτοι δευτεροβάθμιας γενικής ή τεχνικής εκπαίδευσης (13.069 άτομα ή 49%), ακολουθούν οι απόφοιτοι ανώτερης εκπαίδευσης (7.868 άτομα ή 29%) και οι απόφοιτοι μέχρι πρωτοβάθμια εκπαίδευση (5.829 άτομα ή 21%).</w:t>
      </w:r>
    </w:p>
    <w:p w:rsidR="008343BB" w:rsidRDefault="008343BB" w:rsidP="008343BB">
      <w:pPr>
        <w:spacing w:after="240"/>
        <w:jc w:val="both"/>
        <w:rPr>
          <w:rFonts w:ascii="Calibri" w:hAnsi="Calibri"/>
          <w:sz w:val="24"/>
          <w:szCs w:val="24"/>
        </w:rPr>
      </w:pPr>
      <w:r>
        <w:rPr>
          <w:rFonts w:ascii="Calibri" w:hAnsi="Calibri"/>
          <w:sz w:val="24"/>
          <w:szCs w:val="24"/>
        </w:rPr>
        <w:lastRenderedPageBreak/>
        <w:t>Η μακροχρόνια ανεργία (12 μήνες και άνω) έφτασε τα 7.276 άτομα ή 27% (αξιόλογη μείωση 3.121 ατόμων ή 30%</w:t>
      </w:r>
      <w:r w:rsidRPr="00090378">
        <w:rPr>
          <w:rFonts w:ascii="Calibri" w:hAnsi="Calibri"/>
          <w:sz w:val="24"/>
          <w:szCs w:val="24"/>
        </w:rPr>
        <w:t xml:space="preserve"> </w:t>
      </w:r>
      <w:r>
        <w:rPr>
          <w:rFonts w:ascii="Calibri" w:hAnsi="Calibri"/>
          <w:sz w:val="24"/>
          <w:szCs w:val="24"/>
        </w:rPr>
        <w:t>σε σχέση με το 2017). Η ανεργία 6 μέχρι 12 μηνών έφτασε τα 3.575 άτομα ή 13%. Η ανεργία κάτω των 3 μηνών έφτασε τα 10.915 άτομα ή 41%.</w:t>
      </w:r>
    </w:p>
    <w:p w:rsidR="008343BB" w:rsidRDefault="008343BB" w:rsidP="00B92C8A">
      <w:pPr>
        <w:spacing w:after="240"/>
        <w:jc w:val="both"/>
        <w:rPr>
          <w:rFonts w:ascii="Calibri" w:hAnsi="Calibri"/>
          <w:sz w:val="24"/>
          <w:szCs w:val="24"/>
          <w:lang w:val="en-US"/>
        </w:rPr>
      </w:pPr>
      <w:r>
        <w:rPr>
          <w:noProof/>
          <w:lang w:val="en-US"/>
        </w:rPr>
        <w:drawing>
          <wp:inline distT="0" distB="0" distL="0" distR="0" wp14:anchorId="7A73D44D" wp14:editId="48A484E2">
            <wp:extent cx="5276850" cy="29337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5C8D" w:rsidRDefault="00E45C8D" w:rsidP="00B92C8A">
      <w:pPr>
        <w:spacing w:after="240"/>
        <w:jc w:val="both"/>
        <w:rPr>
          <w:rFonts w:ascii="Calibri" w:hAnsi="Calibri"/>
          <w:sz w:val="24"/>
          <w:szCs w:val="24"/>
        </w:rPr>
      </w:pPr>
      <w:r>
        <w:rPr>
          <w:rFonts w:ascii="Calibri" w:hAnsi="Calibri"/>
          <w:sz w:val="24"/>
          <w:szCs w:val="24"/>
        </w:rPr>
        <w:t xml:space="preserve">Κατά οικονομική δραστηριότητα, ο μεγαλύτερος αριθμός εγγεγραμμένων ανέργων ήταν στον τομέα των ξενοδοχείων (5.390 άτομα), ακολούθως ο </w:t>
      </w:r>
      <w:r w:rsidR="00537B5E">
        <w:rPr>
          <w:rFonts w:ascii="Calibri" w:hAnsi="Calibri"/>
          <w:sz w:val="24"/>
          <w:szCs w:val="24"/>
        </w:rPr>
        <w:t>τομέας</w:t>
      </w:r>
      <w:r>
        <w:rPr>
          <w:rFonts w:ascii="Calibri" w:hAnsi="Calibri"/>
          <w:sz w:val="24"/>
          <w:szCs w:val="24"/>
        </w:rPr>
        <w:t xml:space="preserve"> του εμπορίου (4.841 άτομα), οι υπηρεσίες (4.147 άτομα), η δημόσια διοίκηση (2.001 άτομα), οι κατασκευές (1.997 άτομα) και η μεταποίηση (1.828 άτομα).</w:t>
      </w:r>
    </w:p>
    <w:p w:rsidR="00E45C8D" w:rsidRPr="0027016F" w:rsidRDefault="00B76ED8" w:rsidP="00B92C8A">
      <w:pPr>
        <w:spacing w:after="240"/>
        <w:jc w:val="both"/>
        <w:rPr>
          <w:rFonts w:ascii="Calibri" w:hAnsi="Calibri"/>
          <w:sz w:val="24"/>
          <w:szCs w:val="24"/>
        </w:rPr>
      </w:pPr>
      <w:r>
        <w:rPr>
          <w:rFonts w:ascii="Calibri" w:hAnsi="Calibri"/>
          <w:sz w:val="24"/>
          <w:szCs w:val="24"/>
        </w:rPr>
        <w:t>Τέλος, κ</w:t>
      </w:r>
      <w:r w:rsidR="00E45C8D">
        <w:rPr>
          <w:rFonts w:ascii="Calibri" w:hAnsi="Calibri"/>
          <w:sz w:val="24"/>
          <w:szCs w:val="24"/>
        </w:rPr>
        <w:t xml:space="preserve">ατά επαγγελματική κατηγορία, οι μεγαλύτερες συγκεντρώσεις εγγεγραμμένων ανέργων το 2018 καταγράφηκαν στους υπαλλήλους υπηρεσιών και πωλητές (6.817 άτομα), στους ανειδίκευτους εργάτες, χειρωνάκτες και μικροεπαγγελματίες (5.611 άτομα), </w:t>
      </w:r>
      <w:r w:rsidR="00AC2823">
        <w:rPr>
          <w:rFonts w:ascii="Calibri" w:hAnsi="Calibri"/>
          <w:sz w:val="24"/>
          <w:szCs w:val="24"/>
        </w:rPr>
        <w:t>στους υπαλλήλους γραφείου (4.033 άτομα) και στους νεοεισερχόμενους (3.077 άτομα).</w:t>
      </w:r>
    </w:p>
    <w:p w:rsidR="00583829" w:rsidRPr="0027016F" w:rsidRDefault="00583829" w:rsidP="00311B33">
      <w:pPr>
        <w:spacing w:after="240"/>
        <w:jc w:val="both"/>
        <w:rPr>
          <w:rFonts w:ascii="Calibri" w:hAnsi="Calibri"/>
          <w:sz w:val="24"/>
          <w:szCs w:val="24"/>
        </w:rPr>
      </w:pPr>
    </w:p>
    <w:p w:rsidR="001D3983" w:rsidRDefault="001D3983">
      <w:pPr>
        <w:rPr>
          <w:rFonts w:ascii="Calibri" w:hAnsi="Calibri"/>
          <w:sz w:val="24"/>
          <w:szCs w:val="24"/>
        </w:rPr>
      </w:pPr>
      <w:r>
        <w:rPr>
          <w:rFonts w:ascii="Calibri" w:hAnsi="Calibri"/>
          <w:sz w:val="24"/>
          <w:szCs w:val="24"/>
        </w:rPr>
        <w:br w:type="page"/>
      </w:r>
    </w:p>
    <w:p w:rsidR="007C6ACD" w:rsidRPr="00444484" w:rsidRDefault="00444484" w:rsidP="007C6ACD">
      <w:pPr>
        <w:pStyle w:val="ListParagraph"/>
        <w:numPr>
          <w:ilvl w:val="0"/>
          <w:numId w:val="5"/>
        </w:numPr>
        <w:rPr>
          <w:rFonts w:asciiTheme="minorHAnsi" w:eastAsia="Calibri" w:hAnsiTheme="minorHAnsi" w:cs="Arial"/>
          <w:sz w:val="26"/>
          <w:szCs w:val="26"/>
        </w:rPr>
      </w:pPr>
      <w:r>
        <w:rPr>
          <w:rFonts w:asciiTheme="minorHAnsi" w:eastAsia="Calibri" w:hAnsiTheme="minorHAnsi" w:cs="Arial"/>
          <w:sz w:val="26"/>
          <w:szCs w:val="26"/>
        </w:rPr>
        <w:lastRenderedPageBreak/>
        <w:t xml:space="preserve">Θέσεις </w:t>
      </w:r>
      <w:r>
        <w:rPr>
          <w:rFonts w:asciiTheme="minorHAnsi" w:eastAsia="Calibri" w:hAnsiTheme="minorHAnsi" w:cs="Arial"/>
          <w:sz w:val="26"/>
          <w:szCs w:val="26"/>
          <w:lang w:val="el-GR"/>
        </w:rPr>
        <w:t>Ε</w:t>
      </w:r>
      <w:proofErr w:type="spellStart"/>
      <w:r w:rsidR="007C6ACD" w:rsidRPr="00D32BBF">
        <w:rPr>
          <w:rFonts w:asciiTheme="minorHAnsi" w:eastAsia="Calibri" w:hAnsiTheme="minorHAnsi" w:cs="Arial"/>
          <w:sz w:val="26"/>
          <w:szCs w:val="26"/>
        </w:rPr>
        <w:t>ργ</w:t>
      </w:r>
      <w:proofErr w:type="spellEnd"/>
      <w:r w:rsidR="007C6ACD" w:rsidRPr="00D32BBF">
        <w:rPr>
          <w:rFonts w:asciiTheme="minorHAnsi" w:eastAsia="Calibri" w:hAnsiTheme="minorHAnsi" w:cs="Arial"/>
          <w:sz w:val="26"/>
          <w:szCs w:val="26"/>
        </w:rPr>
        <w:t>ασίας</w:t>
      </w:r>
    </w:p>
    <w:p w:rsidR="00444484" w:rsidRPr="00D32BBF" w:rsidRDefault="00444484" w:rsidP="00444484">
      <w:pPr>
        <w:pStyle w:val="ListParagraph"/>
        <w:rPr>
          <w:rFonts w:asciiTheme="minorHAnsi" w:eastAsia="Calibri" w:hAnsiTheme="minorHAnsi" w:cs="Arial"/>
          <w:sz w:val="26"/>
          <w:szCs w:val="26"/>
        </w:rPr>
      </w:pPr>
    </w:p>
    <w:p w:rsidR="0054157C" w:rsidRDefault="007C6ACD" w:rsidP="0054157C">
      <w:pPr>
        <w:pStyle w:val="ListParagraph"/>
        <w:numPr>
          <w:ilvl w:val="0"/>
          <w:numId w:val="3"/>
        </w:numPr>
        <w:spacing w:line="276" w:lineRule="auto"/>
        <w:ind w:left="709" w:hanging="283"/>
        <w:rPr>
          <w:rFonts w:asciiTheme="minorHAnsi" w:eastAsia="Calibri" w:hAnsiTheme="minorHAnsi" w:cs="Arial"/>
          <w:sz w:val="26"/>
          <w:szCs w:val="26"/>
          <w:lang w:val="el-GR"/>
        </w:rPr>
      </w:pPr>
      <w:r w:rsidRPr="009B7BBA">
        <w:rPr>
          <w:rFonts w:asciiTheme="minorHAnsi" w:eastAsia="Calibri" w:hAnsiTheme="minorHAnsi" w:cs="Arial"/>
          <w:sz w:val="26"/>
          <w:szCs w:val="26"/>
          <w:lang w:val="el-GR"/>
        </w:rPr>
        <w:t>Κοινοποιηθείσες</w:t>
      </w:r>
      <w:r w:rsidR="00525013">
        <w:rPr>
          <w:rFonts w:asciiTheme="minorHAnsi" w:eastAsia="Calibri" w:hAnsiTheme="minorHAnsi" w:cs="Arial"/>
          <w:sz w:val="26"/>
          <w:szCs w:val="26"/>
          <w:lang w:val="el-GR"/>
        </w:rPr>
        <w:t xml:space="preserve"> Θέσεις Εργασίας</w:t>
      </w:r>
    </w:p>
    <w:p w:rsidR="0054157C" w:rsidRPr="00525013" w:rsidRDefault="0054157C" w:rsidP="0054157C">
      <w:pPr>
        <w:pStyle w:val="ListParagraph"/>
        <w:spacing w:line="276" w:lineRule="auto"/>
        <w:ind w:left="709"/>
        <w:rPr>
          <w:rFonts w:asciiTheme="minorHAnsi" w:eastAsia="Calibri" w:hAnsiTheme="minorHAnsi" w:cs="Arial"/>
          <w:lang w:val="el-GR"/>
        </w:rPr>
      </w:pPr>
    </w:p>
    <w:p w:rsidR="001C7029" w:rsidRDefault="001C7029" w:rsidP="00306ADA">
      <w:pPr>
        <w:ind w:right="-199"/>
        <w:jc w:val="both"/>
        <w:rPr>
          <w:rFonts w:eastAsia="Calibri" w:cs="Arial"/>
          <w:sz w:val="24"/>
          <w:szCs w:val="24"/>
        </w:rPr>
      </w:pPr>
      <w:r>
        <w:rPr>
          <w:rFonts w:eastAsia="Calibri" w:cs="Arial"/>
          <w:sz w:val="24"/>
          <w:szCs w:val="24"/>
        </w:rPr>
        <w:t xml:space="preserve">Οι κοινοποιηθείσες θέσεις στα επαρχιακά και τοπικά γραφεία εργασίας αριθμούσαν </w:t>
      </w:r>
      <w:r w:rsidRPr="001C7029">
        <w:rPr>
          <w:rFonts w:eastAsia="Calibri" w:cs="Arial"/>
          <w:sz w:val="24"/>
          <w:szCs w:val="24"/>
          <w:u w:val="single"/>
        </w:rPr>
        <w:t>23,457 χιλιάδες το 2018</w:t>
      </w:r>
      <w:r>
        <w:rPr>
          <w:rFonts w:eastAsia="Calibri" w:cs="Arial"/>
          <w:sz w:val="24"/>
          <w:szCs w:val="24"/>
        </w:rPr>
        <w:t>. Ο αντίστοιχος αριθμός το 2017 ήταν 22,180</w:t>
      </w:r>
      <w:r w:rsidR="00306ADA">
        <w:rPr>
          <w:rFonts w:eastAsia="Calibri" w:cs="Arial"/>
          <w:sz w:val="24"/>
          <w:szCs w:val="24"/>
        </w:rPr>
        <w:t xml:space="preserve"> κοινοποιηθείσες θέσεις</w:t>
      </w:r>
      <w:r>
        <w:rPr>
          <w:rFonts w:eastAsia="Calibri" w:cs="Arial"/>
          <w:sz w:val="24"/>
          <w:szCs w:val="24"/>
        </w:rPr>
        <w:t>, αυξήθηκαν δηλαδή το 2018 κατά 1,277 ή 6%.</w:t>
      </w:r>
    </w:p>
    <w:p w:rsidR="001C7029" w:rsidRDefault="001C7029" w:rsidP="00306ADA">
      <w:pPr>
        <w:ind w:right="-199"/>
        <w:jc w:val="both"/>
        <w:rPr>
          <w:rFonts w:eastAsia="Calibri" w:cs="Arial"/>
          <w:sz w:val="24"/>
          <w:szCs w:val="24"/>
        </w:rPr>
      </w:pPr>
      <w:r>
        <w:rPr>
          <w:rFonts w:eastAsia="Calibri" w:cs="Arial"/>
          <w:sz w:val="24"/>
          <w:szCs w:val="24"/>
        </w:rPr>
        <w:t>Οι περισσότερες</w:t>
      </w:r>
      <w:r w:rsidR="0054157C">
        <w:rPr>
          <w:rFonts w:eastAsia="Calibri" w:cs="Arial"/>
          <w:sz w:val="24"/>
          <w:szCs w:val="24"/>
        </w:rPr>
        <w:t xml:space="preserve"> κοινοποιηθείσες </w:t>
      </w:r>
      <w:r>
        <w:rPr>
          <w:rFonts w:eastAsia="Calibri" w:cs="Arial"/>
          <w:sz w:val="24"/>
          <w:szCs w:val="24"/>
        </w:rPr>
        <w:t>θέσεις αφορούσαν</w:t>
      </w:r>
      <w:r w:rsidR="0054157C">
        <w:rPr>
          <w:rFonts w:eastAsia="Calibri" w:cs="Arial"/>
          <w:sz w:val="24"/>
          <w:szCs w:val="24"/>
        </w:rPr>
        <w:t xml:space="preserve"> τους τομείς των ξενοδοχείων (5,827 χιλιάδες), της μεταποίησης (3,620 χιλ.), του εμπορίου (3,076 χιλ.), της γεωργίας/δασοκομίας/αλιείας (2,262 χιλ.) και τις κατασκευές (2,180 χιλ). </w:t>
      </w:r>
      <w:r>
        <w:rPr>
          <w:rFonts w:eastAsia="Calibri" w:cs="Arial"/>
          <w:sz w:val="24"/>
          <w:szCs w:val="24"/>
        </w:rPr>
        <w:t xml:space="preserve"> </w:t>
      </w:r>
    </w:p>
    <w:p w:rsidR="0054157C" w:rsidRDefault="0054157C" w:rsidP="00306ADA">
      <w:pPr>
        <w:ind w:right="-199"/>
        <w:jc w:val="both"/>
        <w:rPr>
          <w:rFonts w:eastAsia="Calibri" w:cs="Arial"/>
          <w:sz w:val="24"/>
          <w:szCs w:val="24"/>
        </w:rPr>
      </w:pPr>
      <w:r>
        <w:rPr>
          <w:rFonts w:eastAsia="Calibri" w:cs="Arial"/>
          <w:sz w:val="24"/>
          <w:szCs w:val="24"/>
        </w:rPr>
        <w:t>Κατά επαγγελματική κατηγορία οι περισσότερες κοινοποιηθείσες θέσεις αφορούσαν την ζήτηση ανειδίκευτων εργατών, χειρωνακτών και μικροεπαγγελματιών (8,204 χιλ.), απασχολουμένων στην παροχή υπηρεσιών και πωλητές (7,049 χιλ.), ειδικευμένους τεχνίτες και ασκούντες συναφή επαγγέλματα (3.152 χιλ.), επαγγελματίες (1,982 χιλ.) και υπαλλήλους γραφείου (1,105 χιλ.).</w:t>
      </w:r>
    </w:p>
    <w:p w:rsidR="00525013" w:rsidRPr="003B5E2D" w:rsidRDefault="00525013" w:rsidP="00306ADA">
      <w:pPr>
        <w:ind w:right="-199"/>
        <w:jc w:val="both"/>
        <w:rPr>
          <w:rFonts w:eastAsia="Calibri" w:cs="Arial"/>
          <w:sz w:val="20"/>
          <w:szCs w:val="20"/>
        </w:rPr>
      </w:pPr>
    </w:p>
    <w:p w:rsidR="007C6ACD" w:rsidRDefault="007C6ACD" w:rsidP="00444484">
      <w:pPr>
        <w:pStyle w:val="ListParagraph"/>
        <w:numPr>
          <w:ilvl w:val="0"/>
          <w:numId w:val="3"/>
        </w:numPr>
        <w:spacing w:line="276" w:lineRule="auto"/>
        <w:ind w:left="709" w:hanging="283"/>
        <w:rPr>
          <w:rFonts w:asciiTheme="minorHAnsi" w:eastAsia="Calibri" w:hAnsiTheme="minorHAnsi" w:cs="Arial"/>
          <w:sz w:val="26"/>
          <w:szCs w:val="26"/>
          <w:lang w:val="el-GR"/>
        </w:rPr>
      </w:pPr>
      <w:r w:rsidRPr="009B7BBA">
        <w:rPr>
          <w:rFonts w:asciiTheme="minorHAnsi" w:eastAsia="Calibri" w:hAnsiTheme="minorHAnsi" w:cs="Arial"/>
          <w:sz w:val="26"/>
          <w:szCs w:val="26"/>
          <w:lang w:val="el-GR"/>
        </w:rPr>
        <w:t>Ενεργές</w:t>
      </w:r>
      <w:r w:rsidR="00525013">
        <w:rPr>
          <w:rFonts w:asciiTheme="minorHAnsi" w:eastAsia="Calibri" w:hAnsiTheme="minorHAnsi" w:cs="Arial"/>
          <w:sz w:val="26"/>
          <w:szCs w:val="26"/>
        </w:rPr>
        <w:t xml:space="preserve"> </w:t>
      </w:r>
      <w:r w:rsidR="00525013">
        <w:rPr>
          <w:rFonts w:asciiTheme="minorHAnsi" w:eastAsia="Calibri" w:hAnsiTheme="minorHAnsi" w:cs="Arial"/>
          <w:sz w:val="26"/>
          <w:szCs w:val="26"/>
          <w:lang w:val="el-GR"/>
        </w:rPr>
        <w:t>Θέσεις Εργασίας</w:t>
      </w:r>
    </w:p>
    <w:p w:rsidR="00525013" w:rsidRPr="00525013" w:rsidRDefault="00525013" w:rsidP="00525013">
      <w:pPr>
        <w:pStyle w:val="ListParagraph"/>
        <w:spacing w:line="276" w:lineRule="auto"/>
        <w:ind w:left="709"/>
        <w:rPr>
          <w:rFonts w:asciiTheme="minorHAnsi" w:eastAsia="Calibri" w:hAnsiTheme="minorHAnsi" w:cs="Arial"/>
          <w:lang w:val="el-GR"/>
        </w:rPr>
      </w:pPr>
    </w:p>
    <w:p w:rsidR="00525013" w:rsidRDefault="00525013" w:rsidP="00525013">
      <w:pPr>
        <w:ind w:right="-199"/>
        <w:jc w:val="both"/>
        <w:rPr>
          <w:rFonts w:eastAsia="Calibri" w:cs="Arial"/>
          <w:sz w:val="24"/>
          <w:szCs w:val="24"/>
        </w:rPr>
      </w:pPr>
      <w:r>
        <w:rPr>
          <w:rFonts w:eastAsia="Calibri" w:cs="Arial"/>
          <w:sz w:val="24"/>
          <w:szCs w:val="24"/>
        </w:rPr>
        <w:t>Ο μέσος όρος των ενεργών κενών θέσεων εργασίας στα επαρχιακά και τοπικά γραφεία εργασίας αριθμούσαν σε 8</w:t>
      </w:r>
      <w:r w:rsidRPr="00525013">
        <w:rPr>
          <w:rFonts w:eastAsia="Calibri" w:cs="Arial"/>
          <w:sz w:val="24"/>
          <w:szCs w:val="24"/>
          <w:u w:val="single"/>
        </w:rPr>
        <w:t>,604 χιλιάδες το 2018</w:t>
      </w:r>
      <w:r>
        <w:rPr>
          <w:rFonts w:eastAsia="Calibri" w:cs="Arial"/>
          <w:sz w:val="24"/>
          <w:szCs w:val="24"/>
        </w:rPr>
        <w:t xml:space="preserve">. Ο αντίστοιχος αριθμός το 2017 ήταν 7,376 χιλ., αυξήθηκαν δηλαδή το 2018 κατά 1,228 </w:t>
      </w:r>
      <w:bookmarkStart w:id="0" w:name="_GoBack"/>
      <w:bookmarkEnd w:id="0"/>
      <w:r>
        <w:rPr>
          <w:rFonts w:eastAsia="Calibri" w:cs="Arial"/>
          <w:sz w:val="24"/>
          <w:szCs w:val="24"/>
        </w:rPr>
        <w:t>ή 17%.</w:t>
      </w:r>
    </w:p>
    <w:p w:rsidR="00525013" w:rsidRDefault="00525013" w:rsidP="00525013">
      <w:pPr>
        <w:ind w:right="-199"/>
        <w:jc w:val="both"/>
        <w:rPr>
          <w:rFonts w:eastAsia="Calibri" w:cs="Arial"/>
          <w:sz w:val="24"/>
          <w:szCs w:val="24"/>
        </w:rPr>
      </w:pPr>
      <w:r>
        <w:rPr>
          <w:rFonts w:eastAsia="Calibri" w:cs="Arial"/>
          <w:sz w:val="24"/>
          <w:szCs w:val="24"/>
        </w:rPr>
        <w:t xml:space="preserve">Οι περισσότερες ενεργές θέσεις εργασίας αφορούσαν τους τομείς των ξενοδοχείων (2,333 χιλιάδες), της μεταποίησης (1,419 χιλ.), και του εμπορίου (1,040 χιλ.). </w:t>
      </w:r>
    </w:p>
    <w:p w:rsidR="00525013" w:rsidRDefault="00525013" w:rsidP="00525013">
      <w:pPr>
        <w:ind w:right="-199"/>
        <w:jc w:val="both"/>
        <w:rPr>
          <w:rFonts w:eastAsia="Calibri" w:cs="Arial"/>
          <w:sz w:val="24"/>
          <w:szCs w:val="24"/>
        </w:rPr>
      </w:pPr>
      <w:r>
        <w:rPr>
          <w:rFonts w:eastAsia="Calibri" w:cs="Arial"/>
          <w:sz w:val="24"/>
          <w:szCs w:val="24"/>
        </w:rPr>
        <w:t>Κατά επαγγελματική κατηγορία οι περισσότερες ενεργές θέσεις αφορούσαν στη ζήτηση ανειδίκευτων εργατών, χειρωνακτών και μικροεπαγγελματιών (2,901 χιλ.), των απασχολουμένων στην παροχή υπηρεσιών και πωλητές (2,529 χιλ.) και σε ειδικευμένους τεχνίτες και ασκούντες συναφή επαγγέλματα (1,340 χιλ.).</w:t>
      </w:r>
    </w:p>
    <w:p w:rsidR="00525013" w:rsidRPr="003B5E2D" w:rsidRDefault="00525013" w:rsidP="00525013">
      <w:pPr>
        <w:rPr>
          <w:rFonts w:eastAsia="Calibri" w:cs="Arial"/>
          <w:sz w:val="20"/>
          <w:szCs w:val="20"/>
        </w:rPr>
      </w:pPr>
    </w:p>
    <w:p w:rsidR="007C6ACD" w:rsidRDefault="007C6ACD" w:rsidP="00444484">
      <w:pPr>
        <w:pStyle w:val="ListParagraph"/>
        <w:numPr>
          <w:ilvl w:val="0"/>
          <w:numId w:val="3"/>
        </w:numPr>
        <w:spacing w:line="276" w:lineRule="auto"/>
        <w:ind w:left="709" w:hanging="283"/>
        <w:rPr>
          <w:rFonts w:asciiTheme="minorHAnsi" w:eastAsia="Calibri" w:hAnsiTheme="minorHAnsi" w:cs="Arial"/>
          <w:sz w:val="26"/>
          <w:szCs w:val="26"/>
          <w:lang w:val="el-GR"/>
        </w:rPr>
      </w:pPr>
      <w:r w:rsidRPr="009B7BBA">
        <w:rPr>
          <w:rFonts w:asciiTheme="minorHAnsi" w:eastAsia="Calibri" w:hAnsiTheme="minorHAnsi" w:cs="Arial"/>
          <w:sz w:val="26"/>
          <w:szCs w:val="26"/>
          <w:lang w:val="el-GR"/>
        </w:rPr>
        <w:t>Τερματισμένες</w:t>
      </w:r>
      <w:r w:rsidR="003B5E2D">
        <w:rPr>
          <w:rFonts w:asciiTheme="minorHAnsi" w:eastAsia="Calibri" w:hAnsiTheme="minorHAnsi" w:cs="Arial"/>
          <w:sz w:val="26"/>
          <w:szCs w:val="26"/>
          <w:lang w:val="el-GR"/>
        </w:rPr>
        <w:t xml:space="preserve"> Θέσεις Εργασίας</w:t>
      </w:r>
    </w:p>
    <w:p w:rsidR="003B5E2D" w:rsidRPr="003B5E2D" w:rsidRDefault="003B5E2D" w:rsidP="003B5E2D">
      <w:pPr>
        <w:pStyle w:val="ListParagraph"/>
        <w:spacing w:line="276" w:lineRule="auto"/>
        <w:ind w:left="709"/>
        <w:rPr>
          <w:rFonts w:asciiTheme="minorHAnsi" w:eastAsia="Calibri" w:hAnsiTheme="minorHAnsi" w:cs="Arial"/>
          <w:lang w:val="el-GR"/>
        </w:rPr>
      </w:pPr>
    </w:p>
    <w:p w:rsidR="00583829" w:rsidRPr="007C6ACD" w:rsidRDefault="003B5E2D" w:rsidP="007C6ACD">
      <w:pPr>
        <w:spacing w:after="240"/>
        <w:jc w:val="both"/>
        <w:rPr>
          <w:rFonts w:ascii="Calibri" w:hAnsi="Calibri"/>
        </w:rPr>
      </w:pPr>
      <w:r>
        <w:rPr>
          <w:rFonts w:ascii="Calibri" w:hAnsi="Calibri"/>
        </w:rPr>
        <w:t xml:space="preserve">Το σύνολο των τερματισμένων κενών θέσεων εργασίας το 2018 ήταν </w:t>
      </w:r>
      <w:r w:rsidRPr="003B5E2D">
        <w:rPr>
          <w:rFonts w:ascii="Calibri" w:hAnsi="Calibri"/>
          <w:u w:val="single"/>
        </w:rPr>
        <w:t>19,564 χιλιάδες</w:t>
      </w:r>
      <w:r>
        <w:rPr>
          <w:rFonts w:ascii="Calibri" w:hAnsi="Calibri"/>
        </w:rPr>
        <w:t xml:space="preserve"> ενώ το 2017 ήταν 15,890 χιλιάδες.</w:t>
      </w:r>
    </w:p>
    <w:p w:rsidR="00583829" w:rsidRPr="0027016F" w:rsidRDefault="00583829" w:rsidP="00311B33">
      <w:pPr>
        <w:spacing w:after="240"/>
        <w:jc w:val="both"/>
        <w:rPr>
          <w:rFonts w:ascii="Calibri" w:hAnsi="Calibri"/>
          <w:sz w:val="24"/>
          <w:szCs w:val="24"/>
        </w:rPr>
      </w:pPr>
    </w:p>
    <w:p w:rsidR="008E38ED" w:rsidRPr="0027016F" w:rsidRDefault="008E38ED" w:rsidP="00311B33">
      <w:pPr>
        <w:jc w:val="both"/>
        <w:rPr>
          <w:sz w:val="24"/>
          <w:szCs w:val="24"/>
        </w:rPr>
      </w:pPr>
    </w:p>
    <w:p w:rsidR="00556546" w:rsidRPr="00311B33" w:rsidRDefault="00556546" w:rsidP="00311B33">
      <w:pPr>
        <w:spacing w:after="240"/>
        <w:jc w:val="both"/>
        <w:rPr>
          <w:rFonts w:ascii="Calibri" w:hAnsi="Calibri"/>
          <w:b/>
          <w:bCs/>
          <w:sz w:val="24"/>
          <w:szCs w:val="24"/>
        </w:rPr>
      </w:pPr>
    </w:p>
    <w:p w:rsidR="003B5E2D" w:rsidRPr="00B70D48" w:rsidRDefault="003B5E2D" w:rsidP="003B5E2D">
      <w:pPr>
        <w:pStyle w:val="ListParagraph"/>
        <w:numPr>
          <w:ilvl w:val="0"/>
          <w:numId w:val="5"/>
        </w:numPr>
        <w:rPr>
          <w:rFonts w:asciiTheme="minorHAnsi" w:eastAsia="Calibri" w:hAnsiTheme="minorHAnsi" w:cs="Arial"/>
          <w:sz w:val="26"/>
          <w:szCs w:val="26"/>
        </w:rPr>
      </w:pPr>
      <w:r>
        <w:rPr>
          <w:rFonts w:asciiTheme="minorHAnsi" w:eastAsia="Calibri" w:hAnsiTheme="minorHAnsi" w:cs="Arial"/>
          <w:sz w:val="26"/>
          <w:szCs w:val="26"/>
          <w:lang w:val="el-GR"/>
        </w:rPr>
        <w:lastRenderedPageBreak/>
        <w:t>Τοποθετήσεις</w:t>
      </w:r>
    </w:p>
    <w:p w:rsidR="00B70D48" w:rsidRDefault="00B70D48" w:rsidP="00311B33">
      <w:pPr>
        <w:jc w:val="both"/>
        <w:rPr>
          <w:sz w:val="24"/>
          <w:szCs w:val="24"/>
        </w:rPr>
      </w:pPr>
    </w:p>
    <w:p w:rsidR="009B0F9B" w:rsidRDefault="00B70D48" w:rsidP="00311B33">
      <w:pPr>
        <w:jc w:val="both"/>
        <w:rPr>
          <w:sz w:val="24"/>
          <w:szCs w:val="24"/>
        </w:rPr>
      </w:pPr>
      <w:r>
        <w:rPr>
          <w:sz w:val="24"/>
          <w:szCs w:val="24"/>
        </w:rPr>
        <w:t xml:space="preserve">Το σύνολο των τοποθετήσεων </w:t>
      </w:r>
      <w:r w:rsidRPr="00B70D48">
        <w:rPr>
          <w:sz w:val="24"/>
          <w:szCs w:val="24"/>
          <w:u w:val="single"/>
        </w:rPr>
        <w:t>το 2018 ήταν 3,705</w:t>
      </w:r>
      <w:r>
        <w:rPr>
          <w:sz w:val="24"/>
          <w:szCs w:val="24"/>
          <w:u w:val="single"/>
        </w:rPr>
        <w:t xml:space="preserve"> χιλιάδες</w:t>
      </w:r>
      <w:r>
        <w:rPr>
          <w:sz w:val="24"/>
          <w:szCs w:val="24"/>
        </w:rPr>
        <w:t xml:space="preserve">, ενώ το 2017 ήταν 4,564 χιλιάδες, </w:t>
      </w:r>
      <w:r w:rsidR="007E7F64">
        <w:rPr>
          <w:sz w:val="24"/>
          <w:szCs w:val="24"/>
        </w:rPr>
        <w:t>μειώθηκαν δηλαδή το 2018 κατά 859 τοποθετήσεις ή 19%. Κατά φύλο στους άντρες έγιναν 2,286 τοποθετήσεις ή 62% και στις γυναίκες 1,419 τοποθετήσεις ή 38%.</w:t>
      </w:r>
    </w:p>
    <w:p w:rsidR="007E7F64" w:rsidRDefault="007E7F64" w:rsidP="00311B33">
      <w:pPr>
        <w:jc w:val="both"/>
        <w:rPr>
          <w:sz w:val="24"/>
          <w:szCs w:val="24"/>
        </w:rPr>
      </w:pPr>
      <w:r>
        <w:rPr>
          <w:sz w:val="24"/>
          <w:szCs w:val="24"/>
        </w:rPr>
        <w:t xml:space="preserve">Οι περισσότερες τοποθετήσεις έγιναν στην επαρχία Λευκωσίας (1,577 τοποθετήσεις ή 43%), ακολούθως στην Λεμεσό (937 </w:t>
      </w:r>
      <w:proofErr w:type="spellStart"/>
      <w:r>
        <w:rPr>
          <w:sz w:val="24"/>
          <w:szCs w:val="24"/>
        </w:rPr>
        <w:t>τοποθ</w:t>
      </w:r>
      <w:proofErr w:type="spellEnd"/>
      <w:r>
        <w:rPr>
          <w:sz w:val="24"/>
          <w:szCs w:val="24"/>
        </w:rPr>
        <w:t xml:space="preserve">. ή 25%),στη Πάφο (540 </w:t>
      </w:r>
      <w:proofErr w:type="spellStart"/>
      <w:r>
        <w:rPr>
          <w:sz w:val="24"/>
          <w:szCs w:val="24"/>
        </w:rPr>
        <w:t>τοποθ</w:t>
      </w:r>
      <w:proofErr w:type="spellEnd"/>
      <w:r>
        <w:rPr>
          <w:sz w:val="24"/>
          <w:szCs w:val="24"/>
        </w:rPr>
        <w:t xml:space="preserve">. ή 15%), στη Λάρνακα (486 </w:t>
      </w:r>
      <w:proofErr w:type="spellStart"/>
      <w:r>
        <w:rPr>
          <w:sz w:val="24"/>
          <w:szCs w:val="24"/>
        </w:rPr>
        <w:t>τοποθ</w:t>
      </w:r>
      <w:proofErr w:type="spellEnd"/>
      <w:r>
        <w:rPr>
          <w:sz w:val="24"/>
          <w:szCs w:val="24"/>
        </w:rPr>
        <w:t xml:space="preserve">. ή 13%) και στην Αμμόχωστο (165 </w:t>
      </w:r>
      <w:proofErr w:type="spellStart"/>
      <w:r>
        <w:rPr>
          <w:sz w:val="24"/>
          <w:szCs w:val="24"/>
        </w:rPr>
        <w:t>τοποθ</w:t>
      </w:r>
      <w:proofErr w:type="spellEnd"/>
      <w:r>
        <w:rPr>
          <w:sz w:val="24"/>
          <w:szCs w:val="24"/>
        </w:rPr>
        <w:t>. ή 5%).</w:t>
      </w:r>
    </w:p>
    <w:p w:rsidR="007E7F64" w:rsidRDefault="007E7F64" w:rsidP="00311B33">
      <w:pPr>
        <w:jc w:val="both"/>
        <w:rPr>
          <w:sz w:val="24"/>
          <w:szCs w:val="24"/>
        </w:rPr>
      </w:pPr>
      <w:r>
        <w:rPr>
          <w:sz w:val="24"/>
          <w:szCs w:val="24"/>
        </w:rPr>
        <w:t xml:space="preserve">Επιπλέον, οι περισσότερες τοποθετήσεις έγιναν </w:t>
      </w:r>
      <w:r w:rsidRPr="00A87DD3">
        <w:rPr>
          <w:color w:val="FF0000"/>
          <w:sz w:val="24"/>
          <w:szCs w:val="24"/>
        </w:rPr>
        <w:t>στον τομέ</w:t>
      </w:r>
      <w:r w:rsidR="00F76C48" w:rsidRPr="00A87DD3">
        <w:rPr>
          <w:color w:val="FF0000"/>
          <w:sz w:val="24"/>
          <w:szCs w:val="24"/>
        </w:rPr>
        <w:t>α</w:t>
      </w:r>
      <w:r w:rsidRPr="00A87DD3">
        <w:rPr>
          <w:color w:val="FF0000"/>
          <w:sz w:val="24"/>
          <w:szCs w:val="24"/>
        </w:rPr>
        <w:t xml:space="preserve"> τ</w:t>
      </w:r>
      <w:r w:rsidR="00A87DD3" w:rsidRPr="00A87DD3">
        <w:rPr>
          <w:color w:val="FF0000"/>
          <w:sz w:val="24"/>
          <w:szCs w:val="24"/>
        </w:rPr>
        <w:t>ου</w:t>
      </w:r>
      <w:r w:rsidRPr="00A87DD3">
        <w:rPr>
          <w:color w:val="FF0000"/>
          <w:sz w:val="24"/>
          <w:szCs w:val="24"/>
        </w:rPr>
        <w:t xml:space="preserve"> </w:t>
      </w:r>
      <w:r w:rsidR="00A87DD3" w:rsidRPr="00A87DD3">
        <w:rPr>
          <w:color w:val="FF0000"/>
          <w:sz w:val="24"/>
          <w:szCs w:val="24"/>
        </w:rPr>
        <w:t>εμπορίου</w:t>
      </w:r>
      <w:r w:rsidRPr="00A87DD3">
        <w:rPr>
          <w:color w:val="FF0000"/>
          <w:sz w:val="24"/>
          <w:szCs w:val="24"/>
        </w:rPr>
        <w:t xml:space="preserve"> </w:t>
      </w:r>
      <w:r>
        <w:rPr>
          <w:sz w:val="24"/>
          <w:szCs w:val="24"/>
        </w:rPr>
        <w:t xml:space="preserve">(802 τοποθετήσεις), ακολούθως στις κατασκευές (677 </w:t>
      </w:r>
      <w:proofErr w:type="spellStart"/>
      <w:r>
        <w:rPr>
          <w:sz w:val="24"/>
          <w:szCs w:val="24"/>
        </w:rPr>
        <w:t>τοποθ</w:t>
      </w:r>
      <w:proofErr w:type="spellEnd"/>
      <w:r>
        <w:rPr>
          <w:sz w:val="24"/>
          <w:szCs w:val="24"/>
        </w:rPr>
        <w:t xml:space="preserve">.), στις υπηρεσίες (551 </w:t>
      </w:r>
      <w:proofErr w:type="spellStart"/>
      <w:r>
        <w:rPr>
          <w:sz w:val="24"/>
          <w:szCs w:val="24"/>
        </w:rPr>
        <w:t>τοποθ</w:t>
      </w:r>
      <w:proofErr w:type="spellEnd"/>
      <w:r>
        <w:rPr>
          <w:sz w:val="24"/>
          <w:szCs w:val="24"/>
        </w:rPr>
        <w:t xml:space="preserve">.), στη μεταποίηση (486 </w:t>
      </w:r>
      <w:proofErr w:type="spellStart"/>
      <w:r>
        <w:rPr>
          <w:sz w:val="24"/>
          <w:szCs w:val="24"/>
        </w:rPr>
        <w:t>τοποθ</w:t>
      </w:r>
      <w:proofErr w:type="spellEnd"/>
      <w:r>
        <w:rPr>
          <w:sz w:val="24"/>
          <w:szCs w:val="24"/>
        </w:rPr>
        <w:t xml:space="preserve">.), στα ξενοδοχεία (485 </w:t>
      </w:r>
      <w:proofErr w:type="spellStart"/>
      <w:r>
        <w:rPr>
          <w:sz w:val="24"/>
          <w:szCs w:val="24"/>
        </w:rPr>
        <w:t>τοποθ</w:t>
      </w:r>
      <w:proofErr w:type="spellEnd"/>
      <w:r>
        <w:rPr>
          <w:sz w:val="24"/>
          <w:szCs w:val="24"/>
        </w:rPr>
        <w:t>.) και στη δημόσια διοίκηση (392</w:t>
      </w:r>
      <w:r w:rsidR="00F76C48">
        <w:rPr>
          <w:sz w:val="24"/>
          <w:szCs w:val="24"/>
        </w:rPr>
        <w:t xml:space="preserve"> </w:t>
      </w:r>
      <w:proofErr w:type="spellStart"/>
      <w:r w:rsidR="00F76C48">
        <w:rPr>
          <w:sz w:val="24"/>
          <w:szCs w:val="24"/>
        </w:rPr>
        <w:t>τοποθ</w:t>
      </w:r>
      <w:proofErr w:type="spellEnd"/>
      <w:r w:rsidR="00F76C48">
        <w:rPr>
          <w:sz w:val="24"/>
          <w:szCs w:val="24"/>
        </w:rPr>
        <w:t>.</w:t>
      </w:r>
      <w:r>
        <w:rPr>
          <w:sz w:val="24"/>
          <w:szCs w:val="24"/>
        </w:rPr>
        <w:t>).</w:t>
      </w:r>
    </w:p>
    <w:p w:rsidR="00F76C48" w:rsidRDefault="00646581" w:rsidP="00311B33">
      <w:pPr>
        <w:jc w:val="both"/>
        <w:rPr>
          <w:sz w:val="24"/>
          <w:szCs w:val="24"/>
        </w:rPr>
      </w:pPr>
      <w:r>
        <w:rPr>
          <w:sz w:val="24"/>
          <w:szCs w:val="24"/>
        </w:rPr>
        <w:t xml:space="preserve">Μισές από τις τοποθετήσεις αφορούσαν Ελληνοκύπριους (1,860 </w:t>
      </w:r>
      <w:proofErr w:type="spellStart"/>
      <w:r>
        <w:rPr>
          <w:sz w:val="24"/>
          <w:szCs w:val="24"/>
        </w:rPr>
        <w:t>τοποθ</w:t>
      </w:r>
      <w:proofErr w:type="spellEnd"/>
      <w:r>
        <w:rPr>
          <w:sz w:val="24"/>
          <w:szCs w:val="24"/>
        </w:rPr>
        <w:t xml:space="preserve">.), ακολούθως σε Ευρωπαίους πολίτες (640 </w:t>
      </w:r>
      <w:proofErr w:type="spellStart"/>
      <w:r>
        <w:rPr>
          <w:sz w:val="24"/>
          <w:szCs w:val="24"/>
        </w:rPr>
        <w:t>τοποθ</w:t>
      </w:r>
      <w:proofErr w:type="spellEnd"/>
      <w:r>
        <w:rPr>
          <w:sz w:val="24"/>
          <w:szCs w:val="24"/>
        </w:rPr>
        <w:t xml:space="preserve">.), σε άτομα με καθεστώς συμπληρωματική προστασίας (170 </w:t>
      </w:r>
      <w:proofErr w:type="spellStart"/>
      <w:r>
        <w:rPr>
          <w:sz w:val="24"/>
          <w:szCs w:val="24"/>
        </w:rPr>
        <w:t>τοποθ</w:t>
      </w:r>
      <w:proofErr w:type="spellEnd"/>
      <w:r>
        <w:rPr>
          <w:sz w:val="24"/>
          <w:szCs w:val="24"/>
        </w:rPr>
        <w:t xml:space="preserve">.), σε αλλοδαπούς (168 </w:t>
      </w:r>
      <w:proofErr w:type="spellStart"/>
      <w:r>
        <w:rPr>
          <w:sz w:val="24"/>
          <w:szCs w:val="24"/>
        </w:rPr>
        <w:t>τοποθ</w:t>
      </w:r>
      <w:proofErr w:type="spellEnd"/>
      <w:r>
        <w:rPr>
          <w:sz w:val="24"/>
          <w:szCs w:val="24"/>
        </w:rPr>
        <w:t xml:space="preserve">.), σε πόντιους με ελληνικό διαβατήριο (136 </w:t>
      </w:r>
      <w:proofErr w:type="spellStart"/>
      <w:r>
        <w:rPr>
          <w:sz w:val="24"/>
          <w:szCs w:val="24"/>
        </w:rPr>
        <w:t>τοποθ</w:t>
      </w:r>
      <w:proofErr w:type="spellEnd"/>
      <w:r>
        <w:rPr>
          <w:sz w:val="24"/>
          <w:szCs w:val="24"/>
        </w:rPr>
        <w:t xml:space="preserve">.) και σε αιτητές ασύλου (125 </w:t>
      </w:r>
      <w:proofErr w:type="spellStart"/>
      <w:r>
        <w:rPr>
          <w:sz w:val="24"/>
          <w:szCs w:val="24"/>
        </w:rPr>
        <w:t>τοποθ</w:t>
      </w:r>
      <w:proofErr w:type="spellEnd"/>
      <w:r>
        <w:rPr>
          <w:sz w:val="24"/>
          <w:szCs w:val="24"/>
        </w:rPr>
        <w:t>).</w:t>
      </w:r>
    </w:p>
    <w:p w:rsidR="00646581" w:rsidRPr="007E7F64" w:rsidRDefault="00646581" w:rsidP="00311B33">
      <w:pPr>
        <w:jc w:val="both"/>
        <w:rPr>
          <w:sz w:val="24"/>
          <w:szCs w:val="24"/>
        </w:rPr>
      </w:pPr>
      <w:r>
        <w:rPr>
          <w:sz w:val="24"/>
          <w:szCs w:val="24"/>
        </w:rPr>
        <w:t xml:space="preserve">Τέλος, η πλειοψηφία των τοποθετήσεων αφορούσε τον ιδιωτικό τομέα (3,239 τοποθετήσεις ή 87%), ακολούθως τον δημόσιο τομέα (434 τοποθετήσεις ή 12%) και τον </w:t>
      </w:r>
      <w:proofErr w:type="spellStart"/>
      <w:r>
        <w:rPr>
          <w:sz w:val="24"/>
          <w:szCs w:val="24"/>
        </w:rPr>
        <w:t>ημικρατικό</w:t>
      </w:r>
      <w:proofErr w:type="spellEnd"/>
      <w:r>
        <w:rPr>
          <w:sz w:val="24"/>
          <w:szCs w:val="24"/>
        </w:rPr>
        <w:t xml:space="preserve"> (32 τοποθετήσεις ή 1%).</w:t>
      </w:r>
    </w:p>
    <w:p w:rsidR="003B5E2D" w:rsidRDefault="003B5E2D" w:rsidP="00311B33">
      <w:pPr>
        <w:jc w:val="both"/>
        <w:rPr>
          <w:sz w:val="24"/>
          <w:szCs w:val="24"/>
        </w:rPr>
      </w:pPr>
    </w:p>
    <w:p w:rsidR="009B0F9B" w:rsidRDefault="009B0F9B" w:rsidP="00311B33">
      <w:pPr>
        <w:jc w:val="both"/>
        <w:rPr>
          <w:sz w:val="24"/>
          <w:szCs w:val="24"/>
        </w:rPr>
      </w:pPr>
    </w:p>
    <w:p w:rsidR="009B0F9B" w:rsidRDefault="009B0F9B" w:rsidP="00311B33">
      <w:pPr>
        <w:jc w:val="both"/>
        <w:rPr>
          <w:sz w:val="24"/>
          <w:szCs w:val="24"/>
        </w:rPr>
      </w:pPr>
    </w:p>
    <w:p w:rsidR="009B0F9B" w:rsidRPr="00DA4A7C" w:rsidRDefault="00F412F6" w:rsidP="00DA4A7C">
      <w:pPr>
        <w:pBdr>
          <w:top w:val="single" w:sz="4" w:space="1" w:color="auto"/>
          <w:left w:val="single" w:sz="4" w:space="4" w:color="auto"/>
          <w:bottom w:val="single" w:sz="4" w:space="1" w:color="auto"/>
          <w:right w:val="single" w:sz="4" w:space="4" w:color="auto"/>
        </w:pBdr>
        <w:jc w:val="both"/>
        <w:rPr>
          <w:b/>
          <w:color w:val="0070C0"/>
          <w:sz w:val="24"/>
          <w:szCs w:val="24"/>
          <w:u w:val="double"/>
        </w:rPr>
      </w:pPr>
      <w:r w:rsidRPr="00DA4A7C">
        <w:rPr>
          <w:b/>
          <w:color w:val="0070C0"/>
          <w:sz w:val="24"/>
          <w:szCs w:val="24"/>
          <w:u w:val="double"/>
        </w:rPr>
        <w:t xml:space="preserve">Σημείωση: </w:t>
      </w:r>
      <w:r w:rsidR="00DA4A7C" w:rsidRPr="00DA4A7C">
        <w:rPr>
          <w:b/>
          <w:color w:val="0070C0"/>
          <w:sz w:val="24"/>
          <w:szCs w:val="24"/>
          <w:u w:val="double"/>
        </w:rPr>
        <w:t xml:space="preserve">Για τα Ετήσια Στατιστικά Στοιχεία Εγγεγραμμένης Ανεργίας, </w:t>
      </w:r>
      <w:r w:rsidRPr="00DA4A7C">
        <w:rPr>
          <w:b/>
          <w:color w:val="0070C0"/>
          <w:sz w:val="24"/>
          <w:szCs w:val="24"/>
          <w:u w:val="double"/>
        </w:rPr>
        <w:t xml:space="preserve">βλέπετε σχετικούς πίνακες στο </w:t>
      </w:r>
      <w:r w:rsidR="00DA4A7C" w:rsidRPr="00DA4A7C">
        <w:rPr>
          <w:b/>
          <w:color w:val="0070C0"/>
          <w:sz w:val="24"/>
          <w:szCs w:val="24"/>
          <w:u w:val="double"/>
        </w:rPr>
        <w:t>ΜΕΡΟΣ Β</w:t>
      </w:r>
      <w:r w:rsidRPr="00DA4A7C">
        <w:rPr>
          <w:b/>
          <w:color w:val="0070C0"/>
          <w:sz w:val="24"/>
          <w:szCs w:val="24"/>
          <w:u w:val="double"/>
        </w:rPr>
        <w:t>’.</w:t>
      </w:r>
    </w:p>
    <w:p w:rsidR="009B0F9B" w:rsidRDefault="009B0F9B" w:rsidP="00311B33">
      <w:pPr>
        <w:jc w:val="both"/>
        <w:rPr>
          <w:sz w:val="18"/>
          <w:szCs w:val="18"/>
        </w:rPr>
      </w:pPr>
    </w:p>
    <w:p w:rsidR="00F412F6" w:rsidRDefault="00F412F6" w:rsidP="00311B33">
      <w:pPr>
        <w:jc w:val="both"/>
        <w:rPr>
          <w:sz w:val="18"/>
          <w:szCs w:val="18"/>
        </w:rPr>
      </w:pPr>
    </w:p>
    <w:p w:rsidR="00292DDB" w:rsidRDefault="00292DDB" w:rsidP="00311B33">
      <w:pPr>
        <w:jc w:val="both"/>
        <w:rPr>
          <w:sz w:val="18"/>
          <w:szCs w:val="18"/>
        </w:rPr>
      </w:pPr>
    </w:p>
    <w:p w:rsidR="00292DDB" w:rsidRDefault="00292DDB" w:rsidP="00311B33">
      <w:pPr>
        <w:jc w:val="both"/>
        <w:rPr>
          <w:sz w:val="18"/>
          <w:szCs w:val="18"/>
        </w:rPr>
      </w:pPr>
    </w:p>
    <w:p w:rsidR="00292DDB" w:rsidRDefault="00292DDB" w:rsidP="00311B33">
      <w:pPr>
        <w:jc w:val="both"/>
        <w:rPr>
          <w:sz w:val="18"/>
          <w:szCs w:val="18"/>
        </w:rPr>
      </w:pPr>
    </w:p>
    <w:p w:rsidR="00C66A90" w:rsidRDefault="00C66A90" w:rsidP="00311B33">
      <w:pPr>
        <w:jc w:val="both"/>
        <w:rPr>
          <w:sz w:val="18"/>
          <w:szCs w:val="18"/>
        </w:rPr>
      </w:pPr>
    </w:p>
    <w:p w:rsidR="009B0F9B" w:rsidRPr="00C66A90" w:rsidRDefault="009B0F9B" w:rsidP="00311B33">
      <w:pPr>
        <w:jc w:val="both"/>
        <w:rPr>
          <w:sz w:val="18"/>
          <w:szCs w:val="18"/>
        </w:rPr>
      </w:pPr>
      <w:proofErr w:type="spellStart"/>
      <w:r w:rsidRPr="009B0F9B">
        <w:rPr>
          <w:sz w:val="18"/>
          <w:szCs w:val="18"/>
        </w:rPr>
        <w:t>ΜΡη</w:t>
      </w:r>
      <w:proofErr w:type="spellEnd"/>
      <w:r w:rsidRPr="00C66A90">
        <w:rPr>
          <w:sz w:val="18"/>
          <w:szCs w:val="18"/>
        </w:rPr>
        <w:t xml:space="preserve">, </w:t>
      </w:r>
      <w:r w:rsidR="00C66A90">
        <w:rPr>
          <w:sz w:val="18"/>
          <w:szCs w:val="18"/>
          <w:lang w:val="en-US"/>
        </w:rPr>
        <w:fldChar w:fldCharType="begin"/>
      </w:r>
      <w:r w:rsidR="00C66A90" w:rsidRPr="00C66A90">
        <w:rPr>
          <w:sz w:val="18"/>
          <w:szCs w:val="18"/>
        </w:rPr>
        <w:instrText xml:space="preserve"> </w:instrText>
      </w:r>
      <w:r w:rsidR="00C66A90">
        <w:rPr>
          <w:sz w:val="18"/>
          <w:szCs w:val="18"/>
          <w:lang w:val="en-US"/>
        </w:rPr>
        <w:instrText>FILENAME</w:instrText>
      </w:r>
      <w:r w:rsidR="00C66A90" w:rsidRPr="00C66A90">
        <w:rPr>
          <w:sz w:val="18"/>
          <w:szCs w:val="18"/>
        </w:rPr>
        <w:instrText xml:space="preserve">  \</w:instrText>
      </w:r>
      <w:r w:rsidR="00C66A90">
        <w:rPr>
          <w:sz w:val="18"/>
          <w:szCs w:val="18"/>
          <w:lang w:val="en-US"/>
        </w:rPr>
        <w:instrText>p</w:instrText>
      </w:r>
      <w:r w:rsidR="00C66A90" w:rsidRPr="00C66A90">
        <w:rPr>
          <w:sz w:val="18"/>
          <w:szCs w:val="18"/>
        </w:rPr>
        <w:instrText xml:space="preserve">  \* </w:instrText>
      </w:r>
      <w:r w:rsidR="00C66A90">
        <w:rPr>
          <w:sz w:val="18"/>
          <w:szCs w:val="18"/>
          <w:lang w:val="en-US"/>
        </w:rPr>
        <w:instrText>MERGEFORMAT</w:instrText>
      </w:r>
      <w:r w:rsidR="00C66A90" w:rsidRPr="00C66A90">
        <w:rPr>
          <w:sz w:val="18"/>
          <w:szCs w:val="18"/>
        </w:rPr>
        <w:instrText xml:space="preserve"> </w:instrText>
      </w:r>
      <w:r w:rsidR="00C66A90">
        <w:rPr>
          <w:sz w:val="18"/>
          <w:szCs w:val="18"/>
          <w:lang w:val="en-US"/>
        </w:rPr>
        <w:fldChar w:fldCharType="separate"/>
      </w:r>
      <w:r w:rsidR="00C66A90">
        <w:rPr>
          <w:noProof/>
          <w:sz w:val="18"/>
          <w:szCs w:val="18"/>
          <w:lang w:val="en-US"/>
        </w:rPr>
        <w:t>C</w:t>
      </w:r>
      <w:r w:rsidR="00C66A90" w:rsidRPr="00C66A90">
        <w:rPr>
          <w:noProof/>
          <w:sz w:val="18"/>
          <w:szCs w:val="18"/>
        </w:rPr>
        <w:t>:\</w:t>
      </w:r>
      <w:r w:rsidR="00C66A90">
        <w:rPr>
          <w:noProof/>
          <w:sz w:val="18"/>
          <w:szCs w:val="18"/>
          <w:lang w:val="en-US"/>
        </w:rPr>
        <w:t>Users</w:t>
      </w:r>
      <w:r w:rsidR="00C66A90" w:rsidRPr="00C66A90">
        <w:rPr>
          <w:noProof/>
          <w:sz w:val="18"/>
          <w:szCs w:val="18"/>
        </w:rPr>
        <w:t>\</w:t>
      </w:r>
      <w:r w:rsidR="00C66A90">
        <w:rPr>
          <w:noProof/>
          <w:sz w:val="18"/>
          <w:szCs w:val="18"/>
          <w:lang w:val="en-US"/>
        </w:rPr>
        <w:t>Administrator</w:t>
      </w:r>
      <w:r w:rsidR="00C66A90" w:rsidRPr="00C66A90">
        <w:rPr>
          <w:noProof/>
          <w:sz w:val="18"/>
          <w:szCs w:val="18"/>
        </w:rPr>
        <w:t>\</w:t>
      </w:r>
      <w:r w:rsidR="00C66A90">
        <w:rPr>
          <w:noProof/>
          <w:sz w:val="18"/>
          <w:szCs w:val="18"/>
          <w:lang w:val="en-US"/>
        </w:rPr>
        <w:t>M</w:t>
      </w:r>
      <w:r w:rsidR="00C66A90" w:rsidRPr="00C66A90">
        <w:rPr>
          <w:noProof/>
          <w:sz w:val="18"/>
          <w:szCs w:val="18"/>
        </w:rPr>
        <w:t xml:space="preserve"> </w:t>
      </w:r>
      <w:r w:rsidR="00C66A90">
        <w:rPr>
          <w:noProof/>
          <w:sz w:val="18"/>
          <w:szCs w:val="18"/>
          <w:lang w:val="en-US"/>
        </w:rPr>
        <w:t>RIGOU</w:t>
      </w:r>
      <w:r w:rsidR="00C66A90" w:rsidRPr="00C66A90">
        <w:rPr>
          <w:noProof/>
          <w:sz w:val="18"/>
          <w:szCs w:val="18"/>
        </w:rPr>
        <w:t>\</w:t>
      </w:r>
      <w:r w:rsidR="00C66A90">
        <w:rPr>
          <w:noProof/>
          <w:sz w:val="18"/>
          <w:szCs w:val="18"/>
          <w:lang w:val="en-US"/>
        </w:rPr>
        <w:t>Data</w:t>
      </w:r>
      <w:r w:rsidR="00C66A90" w:rsidRPr="00C66A90">
        <w:rPr>
          <w:noProof/>
          <w:sz w:val="18"/>
          <w:szCs w:val="18"/>
        </w:rPr>
        <w:t xml:space="preserve"> </w:t>
      </w:r>
      <w:r w:rsidR="00C66A90">
        <w:rPr>
          <w:noProof/>
          <w:sz w:val="18"/>
          <w:szCs w:val="18"/>
          <w:lang w:val="en-US"/>
        </w:rPr>
        <w:t>Year</w:t>
      </w:r>
      <w:r w:rsidR="00C66A90" w:rsidRPr="00C66A90">
        <w:rPr>
          <w:noProof/>
          <w:sz w:val="18"/>
          <w:szCs w:val="18"/>
        </w:rPr>
        <w:t xml:space="preserve"> </w:t>
      </w:r>
      <w:r w:rsidR="00C66A90">
        <w:rPr>
          <w:noProof/>
          <w:sz w:val="18"/>
          <w:szCs w:val="18"/>
          <w:lang w:val="en-US"/>
        </w:rPr>
        <w:t>Series</w:t>
      </w:r>
      <w:r w:rsidR="00C66A90" w:rsidRPr="00C66A90">
        <w:rPr>
          <w:noProof/>
          <w:sz w:val="18"/>
          <w:szCs w:val="18"/>
        </w:rPr>
        <w:t xml:space="preserve"> </w:t>
      </w:r>
      <w:r w:rsidR="00C66A90">
        <w:rPr>
          <w:noProof/>
          <w:sz w:val="18"/>
          <w:szCs w:val="18"/>
          <w:lang w:val="en-US"/>
        </w:rPr>
        <w:t>M</w:t>
      </w:r>
      <w:r w:rsidR="00C66A90" w:rsidRPr="00C66A90">
        <w:rPr>
          <w:noProof/>
          <w:sz w:val="18"/>
          <w:szCs w:val="18"/>
        </w:rPr>
        <w:t xml:space="preserve"> </w:t>
      </w:r>
      <w:r w:rsidR="00C66A90">
        <w:rPr>
          <w:noProof/>
          <w:sz w:val="18"/>
          <w:szCs w:val="18"/>
          <w:lang w:val="en-US"/>
        </w:rPr>
        <w:t>Rigou</w:t>
      </w:r>
      <w:r w:rsidR="00C66A90" w:rsidRPr="00C66A90">
        <w:rPr>
          <w:noProof/>
          <w:sz w:val="18"/>
          <w:szCs w:val="18"/>
        </w:rPr>
        <w:t>\2018 Ετήσια Έκθεση στατιστικά Παρατηρητηρίου.</w:t>
      </w:r>
      <w:r w:rsidR="00C66A90">
        <w:rPr>
          <w:noProof/>
          <w:sz w:val="18"/>
          <w:szCs w:val="18"/>
          <w:lang w:val="en-US"/>
        </w:rPr>
        <w:t>docx</w:t>
      </w:r>
      <w:r w:rsidR="00C66A90">
        <w:rPr>
          <w:sz w:val="18"/>
          <w:szCs w:val="18"/>
          <w:lang w:val="en-US"/>
        </w:rPr>
        <w:fldChar w:fldCharType="end"/>
      </w:r>
    </w:p>
    <w:sectPr w:rsidR="009B0F9B" w:rsidRPr="00C66A90" w:rsidSect="001D7AF9">
      <w:footerReference w:type="default" r:id="rId12"/>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22" w:rsidRDefault="00A80C22" w:rsidP="00311B33">
      <w:pPr>
        <w:spacing w:after="0" w:line="240" w:lineRule="auto"/>
      </w:pPr>
      <w:r>
        <w:separator/>
      </w:r>
    </w:p>
  </w:endnote>
  <w:endnote w:type="continuationSeparator" w:id="0">
    <w:p w:rsidR="00A80C22" w:rsidRDefault="00A80C22" w:rsidP="0031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65383"/>
      <w:docPartObj>
        <w:docPartGallery w:val="Page Numbers (Bottom of Page)"/>
        <w:docPartUnique/>
      </w:docPartObj>
    </w:sdtPr>
    <w:sdtEndPr>
      <w:rPr>
        <w:noProof/>
      </w:rPr>
    </w:sdtEndPr>
    <w:sdtContent>
      <w:p w:rsidR="008843F0" w:rsidRDefault="008843F0">
        <w:pPr>
          <w:pStyle w:val="Footer"/>
          <w:jc w:val="right"/>
        </w:pPr>
        <w:r>
          <w:fldChar w:fldCharType="begin"/>
        </w:r>
        <w:r>
          <w:instrText xml:space="preserve"> PAGE   \* MERGEFORMAT </w:instrText>
        </w:r>
        <w:r>
          <w:fldChar w:fldCharType="separate"/>
        </w:r>
        <w:r w:rsidR="005D2CD2">
          <w:rPr>
            <w:noProof/>
          </w:rPr>
          <w:t>6</w:t>
        </w:r>
        <w:r>
          <w:rPr>
            <w:noProof/>
          </w:rPr>
          <w:fldChar w:fldCharType="end"/>
        </w:r>
      </w:p>
    </w:sdtContent>
  </w:sdt>
  <w:p w:rsidR="00311B33" w:rsidRDefault="00311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22" w:rsidRDefault="00A80C22" w:rsidP="00311B33">
      <w:pPr>
        <w:spacing w:after="0" w:line="240" w:lineRule="auto"/>
      </w:pPr>
      <w:r>
        <w:separator/>
      </w:r>
    </w:p>
  </w:footnote>
  <w:footnote w:type="continuationSeparator" w:id="0">
    <w:p w:rsidR="00A80C22" w:rsidRDefault="00A80C22" w:rsidP="00311B33">
      <w:pPr>
        <w:spacing w:after="0" w:line="240" w:lineRule="auto"/>
      </w:pPr>
      <w:r>
        <w:continuationSeparator/>
      </w:r>
    </w:p>
  </w:footnote>
  <w:footnote w:id="1">
    <w:p w:rsidR="009543B0" w:rsidRPr="009543B0" w:rsidRDefault="009543B0">
      <w:pPr>
        <w:pStyle w:val="FootnoteText"/>
      </w:pPr>
      <w:r>
        <w:rPr>
          <w:rStyle w:val="FootnoteReference"/>
        </w:rPr>
        <w:footnoteRef/>
      </w:r>
      <w:r>
        <w:t xml:space="preserve"> Στοιχεία Έρευνας Εργατικού Δυναμικού</w:t>
      </w:r>
    </w:p>
  </w:footnote>
  <w:footnote w:id="2">
    <w:p w:rsidR="006E30B0" w:rsidRDefault="006E30B0">
      <w:pPr>
        <w:pStyle w:val="FootnoteText"/>
      </w:pPr>
      <w:r>
        <w:rPr>
          <w:rStyle w:val="FootnoteReference"/>
        </w:rPr>
        <w:footnoteRef/>
      </w:r>
      <w:r>
        <w:t xml:space="preserve"> Στοιχεία Εγγεγραμμένης Ανεργίας από Δημόσι</w:t>
      </w:r>
      <w:r w:rsidR="00FE1F62">
        <w:t>α</w:t>
      </w:r>
      <w:r>
        <w:t xml:space="preserve"> </w:t>
      </w:r>
      <w:r w:rsidR="00FE1F62">
        <w:t>Υπηρεσία Απασχόλησης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FB0"/>
    <w:multiLevelType w:val="hybridMultilevel"/>
    <w:tmpl w:val="65748C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8F766C2"/>
    <w:multiLevelType w:val="hybridMultilevel"/>
    <w:tmpl w:val="8A60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45EEB"/>
    <w:multiLevelType w:val="hybridMultilevel"/>
    <w:tmpl w:val="56F2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F4754"/>
    <w:multiLevelType w:val="hybridMultilevel"/>
    <w:tmpl w:val="8A60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06B0B"/>
    <w:multiLevelType w:val="hybridMultilevel"/>
    <w:tmpl w:val="A7FA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86BEB"/>
    <w:multiLevelType w:val="hybridMultilevel"/>
    <w:tmpl w:val="55FC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71"/>
    <w:rsid w:val="000042AC"/>
    <w:rsid w:val="000556BC"/>
    <w:rsid w:val="00090378"/>
    <w:rsid w:val="001326CC"/>
    <w:rsid w:val="001C40FA"/>
    <w:rsid w:val="001C7029"/>
    <w:rsid w:val="001D3983"/>
    <w:rsid w:val="001D7AF9"/>
    <w:rsid w:val="00203875"/>
    <w:rsid w:val="0022643D"/>
    <w:rsid w:val="0027016F"/>
    <w:rsid w:val="00292DDB"/>
    <w:rsid w:val="002C7E58"/>
    <w:rsid w:val="00306ADA"/>
    <w:rsid w:val="00310685"/>
    <w:rsid w:val="00311B33"/>
    <w:rsid w:val="003B5E2D"/>
    <w:rsid w:val="003F24FA"/>
    <w:rsid w:val="003F4FD8"/>
    <w:rsid w:val="00444484"/>
    <w:rsid w:val="00477AAD"/>
    <w:rsid w:val="00483859"/>
    <w:rsid w:val="004C4953"/>
    <w:rsid w:val="004D2515"/>
    <w:rsid w:val="00506BB8"/>
    <w:rsid w:val="00525013"/>
    <w:rsid w:val="00537B5E"/>
    <w:rsid w:val="0054157C"/>
    <w:rsid w:val="00556546"/>
    <w:rsid w:val="00583829"/>
    <w:rsid w:val="00586E9F"/>
    <w:rsid w:val="005D2CD2"/>
    <w:rsid w:val="00646581"/>
    <w:rsid w:val="00656B79"/>
    <w:rsid w:val="006A6D8C"/>
    <w:rsid w:val="006D7F00"/>
    <w:rsid w:val="006E30B0"/>
    <w:rsid w:val="00752829"/>
    <w:rsid w:val="00773680"/>
    <w:rsid w:val="007A7236"/>
    <w:rsid w:val="007B2FE8"/>
    <w:rsid w:val="007C6ACD"/>
    <w:rsid w:val="007E7F64"/>
    <w:rsid w:val="00825C4A"/>
    <w:rsid w:val="00833337"/>
    <w:rsid w:val="008343BB"/>
    <w:rsid w:val="008843F0"/>
    <w:rsid w:val="008E38ED"/>
    <w:rsid w:val="00923904"/>
    <w:rsid w:val="00933CF3"/>
    <w:rsid w:val="009543B0"/>
    <w:rsid w:val="009B0234"/>
    <w:rsid w:val="009B0F9B"/>
    <w:rsid w:val="009B7BBA"/>
    <w:rsid w:val="00A02D28"/>
    <w:rsid w:val="00A80C22"/>
    <w:rsid w:val="00A87DD3"/>
    <w:rsid w:val="00AC2823"/>
    <w:rsid w:val="00B03741"/>
    <w:rsid w:val="00B339A0"/>
    <w:rsid w:val="00B55EF6"/>
    <w:rsid w:val="00B70D48"/>
    <w:rsid w:val="00B76ED8"/>
    <w:rsid w:val="00B870BD"/>
    <w:rsid w:val="00B92C8A"/>
    <w:rsid w:val="00C66A90"/>
    <w:rsid w:val="00CA2BA9"/>
    <w:rsid w:val="00D3001D"/>
    <w:rsid w:val="00D32BBF"/>
    <w:rsid w:val="00D47D52"/>
    <w:rsid w:val="00DA4A7C"/>
    <w:rsid w:val="00DC2971"/>
    <w:rsid w:val="00DD01B4"/>
    <w:rsid w:val="00E15797"/>
    <w:rsid w:val="00E264AF"/>
    <w:rsid w:val="00E32E94"/>
    <w:rsid w:val="00E45C8D"/>
    <w:rsid w:val="00E8050F"/>
    <w:rsid w:val="00E94006"/>
    <w:rsid w:val="00EE1F0D"/>
    <w:rsid w:val="00EE2751"/>
    <w:rsid w:val="00F412F6"/>
    <w:rsid w:val="00F419DB"/>
    <w:rsid w:val="00F76C48"/>
    <w:rsid w:val="00FC3B3C"/>
    <w:rsid w:val="00FE1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3875"/>
    <w:pPr>
      <w:spacing w:after="0" w:line="240" w:lineRule="auto"/>
      <w:ind w:left="720"/>
    </w:pPr>
    <w:rPr>
      <w:rFonts w:ascii="Times New Roman" w:eastAsia="Times New Roman" w:hAnsi="Times New Roman" w:cs="Times New Roman"/>
      <w:b/>
      <w:bCs/>
      <w:color w:val="000000"/>
      <w:sz w:val="24"/>
      <w:szCs w:val="24"/>
      <w:lang w:val="en-US"/>
    </w:rPr>
  </w:style>
  <w:style w:type="character" w:customStyle="1" w:styleId="apple-converted-space">
    <w:name w:val="apple-converted-space"/>
    <w:basedOn w:val="DefaultParagraphFont"/>
    <w:rsid w:val="00203875"/>
  </w:style>
  <w:style w:type="paragraph" w:styleId="Header">
    <w:name w:val="header"/>
    <w:basedOn w:val="Normal"/>
    <w:link w:val="HeaderChar"/>
    <w:uiPriority w:val="99"/>
    <w:unhideWhenUsed/>
    <w:rsid w:val="00311B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1B33"/>
  </w:style>
  <w:style w:type="paragraph" w:styleId="Footer">
    <w:name w:val="footer"/>
    <w:basedOn w:val="Normal"/>
    <w:link w:val="FooterChar"/>
    <w:uiPriority w:val="99"/>
    <w:unhideWhenUsed/>
    <w:rsid w:val="00311B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1B33"/>
  </w:style>
  <w:style w:type="paragraph" w:styleId="FootnoteText">
    <w:name w:val="footnote text"/>
    <w:basedOn w:val="Normal"/>
    <w:link w:val="FootnoteTextChar"/>
    <w:uiPriority w:val="99"/>
    <w:semiHidden/>
    <w:unhideWhenUsed/>
    <w:rsid w:val="0095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3B0"/>
    <w:rPr>
      <w:sz w:val="20"/>
      <w:szCs w:val="20"/>
    </w:rPr>
  </w:style>
  <w:style w:type="character" w:styleId="FootnoteReference">
    <w:name w:val="footnote reference"/>
    <w:basedOn w:val="DefaultParagraphFont"/>
    <w:uiPriority w:val="99"/>
    <w:semiHidden/>
    <w:unhideWhenUsed/>
    <w:rsid w:val="009543B0"/>
    <w:rPr>
      <w:vertAlign w:val="superscript"/>
    </w:rPr>
  </w:style>
  <w:style w:type="paragraph" w:styleId="BalloonText">
    <w:name w:val="Balloon Text"/>
    <w:basedOn w:val="Normal"/>
    <w:link w:val="BalloonTextChar"/>
    <w:uiPriority w:val="99"/>
    <w:semiHidden/>
    <w:unhideWhenUsed/>
    <w:rsid w:val="002C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58"/>
    <w:rPr>
      <w:rFonts w:ascii="Tahoma" w:hAnsi="Tahoma" w:cs="Tahoma"/>
      <w:sz w:val="16"/>
      <w:szCs w:val="16"/>
    </w:rPr>
  </w:style>
  <w:style w:type="table" w:styleId="TableGrid">
    <w:name w:val="Table Grid"/>
    <w:basedOn w:val="TableNormal"/>
    <w:uiPriority w:val="59"/>
    <w:rsid w:val="003F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D7AF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7AF9"/>
    <w:rPr>
      <w:rFonts w:eastAsiaTheme="minorEastAsia"/>
      <w:lang w:val="en-US" w:eastAsia="ja-JP"/>
    </w:rPr>
  </w:style>
  <w:style w:type="paragraph" w:styleId="Title">
    <w:name w:val="Title"/>
    <w:basedOn w:val="Normal"/>
    <w:next w:val="Normal"/>
    <w:link w:val="TitleChar"/>
    <w:uiPriority w:val="10"/>
    <w:qFormat/>
    <w:rsid w:val="001D7A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D7AF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D7AF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1D7AF9"/>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3875"/>
    <w:pPr>
      <w:spacing w:after="0" w:line="240" w:lineRule="auto"/>
      <w:ind w:left="720"/>
    </w:pPr>
    <w:rPr>
      <w:rFonts w:ascii="Times New Roman" w:eastAsia="Times New Roman" w:hAnsi="Times New Roman" w:cs="Times New Roman"/>
      <w:b/>
      <w:bCs/>
      <w:color w:val="000000"/>
      <w:sz w:val="24"/>
      <w:szCs w:val="24"/>
      <w:lang w:val="en-US"/>
    </w:rPr>
  </w:style>
  <w:style w:type="character" w:customStyle="1" w:styleId="apple-converted-space">
    <w:name w:val="apple-converted-space"/>
    <w:basedOn w:val="DefaultParagraphFont"/>
    <w:rsid w:val="00203875"/>
  </w:style>
  <w:style w:type="paragraph" w:styleId="Header">
    <w:name w:val="header"/>
    <w:basedOn w:val="Normal"/>
    <w:link w:val="HeaderChar"/>
    <w:uiPriority w:val="99"/>
    <w:unhideWhenUsed/>
    <w:rsid w:val="00311B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1B33"/>
  </w:style>
  <w:style w:type="paragraph" w:styleId="Footer">
    <w:name w:val="footer"/>
    <w:basedOn w:val="Normal"/>
    <w:link w:val="FooterChar"/>
    <w:uiPriority w:val="99"/>
    <w:unhideWhenUsed/>
    <w:rsid w:val="00311B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1B33"/>
  </w:style>
  <w:style w:type="paragraph" w:styleId="FootnoteText">
    <w:name w:val="footnote text"/>
    <w:basedOn w:val="Normal"/>
    <w:link w:val="FootnoteTextChar"/>
    <w:uiPriority w:val="99"/>
    <w:semiHidden/>
    <w:unhideWhenUsed/>
    <w:rsid w:val="0095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3B0"/>
    <w:rPr>
      <w:sz w:val="20"/>
      <w:szCs w:val="20"/>
    </w:rPr>
  </w:style>
  <w:style w:type="character" w:styleId="FootnoteReference">
    <w:name w:val="footnote reference"/>
    <w:basedOn w:val="DefaultParagraphFont"/>
    <w:uiPriority w:val="99"/>
    <w:semiHidden/>
    <w:unhideWhenUsed/>
    <w:rsid w:val="009543B0"/>
    <w:rPr>
      <w:vertAlign w:val="superscript"/>
    </w:rPr>
  </w:style>
  <w:style w:type="paragraph" w:styleId="BalloonText">
    <w:name w:val="Balloon Text"/>
    <w:basedOn w:val="Normal"/>
    <w:link w:val="BalloonTextChar"/>
    <w:uiPriority w:val="99"/>
    <w:semiHidden/>
    <w:unhideWhenUsed/>
    <w:rsid w:val="002C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58"/>
    <w:rPr>
      <w:rFonts w:ascii="Tahoma" w:hAnsi="Tahoma" w:cs="Tahoma"/>
      <w:sz w:val="16"/>
      <w:szCs w:val="16"/>
    </w:rPr>
  </w:style>
  <w:style w:type="table" w:styleId="TableGrid">
    <w:name w:val="Table Grid"/>
    <w:basedOn w:val="TableNormal"/>
    <w:uiPriority w:val="59"/>
    <w:rsid w:val="003F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D7AF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7AF9"/>
    <w:rPr>
      <w:rFonts w:eastAsiaTheme="minorEastAsia"/>
      <w:lang w:val="en-US" w:eastAsia="ja-JP"/>
    </w:rPr>
  </w:style>
  <w:style w:type="paragraph" w:styleId="Title">
    <w:name w:val="Title"/>
    <w:basedOn w:val="Normal"/>
    <w:next w:val="Normal"/>
    <w:link w:val="TitleChar"/>
    <w:uiPriority w:val="10"/>
    <w:qFormat/>
    <w:rsid w:val="001D7A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D7AF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D7AF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1D7AF9"/>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M%20RIGOU\&#913;&#957;&#949;&#961;&#947;&#943;&#945;%20-%20&#924;&#951;&#957;&#953;&#945;&#943;&#949;&#962;%20&#917;&#954;&#952;&#941;&#963;&#949;&#953;&#962;\2018%20registered%20unemployed%20-%20monthly%20figures\December%202018\&#928;&#945;&#961;&#940;&#961;&#964;&#951;&#956;&#945;%20&#921;\Table%201%20unemployment%20per%20month%20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unemployment%20by%20du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b="1"/>
              <a:t>Διάγραμμα 1</a:t>
            </a:r>
            <a:r>
              <a:rPr lang="en-US" b="1"/>
              <a:t>:</a:t>
            </a:r>
            <a:r>
              <a:rPr lang="el-GR" b="1"/>
              <a:t> Εγγεγραμμένη Ανεργία κατά μήνα τα χρόνια 2016-2018
</a:t>
            </a:r>
          </a:p>
        </c:rich>
      </c:tx>
      <c:layout>
        <c:manualLayout>
          <c:xMode val="edge"/>
          <c:yMode val="edge"/>
          <c:x val="0.11542719614921779"/>
          <c:y val="2.4494555574273692E-2"/>
        </c:manualLayout>
      </c:layout>
      <c:overlay val="0"/>
      <c:spPr>
        <a:noFill/>
        <a:ln w="25400">
          <a:noFill/>
        </a:ln>
      </c:spPr>
    </c:title>
    <c:autoTitleDeleted val="0"/>
    <c:plotArea>
      <c:layout>
        <c:manualLayout>
          <c:layoutTarget val="inner"/>
          <c:xMode val="edge"/>
          <c:yMode val="edge"/>
          <c:x val="0.11741427029714817"/>
          <c:y val="0.14885573362303442"/>
          <c:w val="0.67225915012157667"/>
          <c:h val="0.51343178669189971"/>
        </c:manualLayout>
      </c:layout>
      <c:lineChart>
        <c:grouping val="standard"/>
        <c:varyColors val="0"/>
        <c:ser>
          <c:idx val="3"/>
          <c:order val="0"/>
          <c:tx>
            <c:strRef>
              <c:f>'Πίνακας 1'!$R$5</c:f>
              <c:strCache>
                <c:ptCount val="1"/>
                <c:pt idx="0">
                  <c:v>2018</c:v>
                </c:pt>
              </c:strCache>
            </c:strRef>
          </c:tx>
          <c:spPr>
            <a:ln w="25400">
              <a:solidFill>
                <a:srgbClr val="666699"/>
              </a:solidFill>
              <a:prstDash val="solid"/>
            </a:ln>
          </c:spPr>
          <c:marker>
            <c:spPr>
              <a:solidFill>
                <a:srgbClr val="666699"/>
              </a:solidFill>
              <a:ln>
                <a:solidFill>
                  <a:srgbClr val="FF0000"/>
                </a:solidFill>
                <a:prstDash val="solid"/>
              </a:ln>
            </c:spPr>
          </c:marker>
          <c:cat>
            <c:strRef>
              <c:f>'Πίνακας 1'!$O$6:$O$17</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'Πίνακας 1'!$R$6:$R$17</c:f>
              <c:numCache>
                <c:formatCode>#,##0</c:formatCode>
                <c:ptCount val="12"/>
                <c:pt idx="0">
                  <c:v>35989</c:v>
                </c:pt>
                <c:pt idx="1">
                  <c:v>34204</c:v>
                </c:pt>
                <c:pt idx="2">
                  <c:v>30616</c:v>
                </c:pt>
                <c:pt idx="3">
                  <c:v>24903</c:v>
                </c:pt>
                <c:pt idx="4">
                  <c:v>22839</c:v>
                </c:pt>
                <c:pt idx="5">
                  <c:v>23808</c:v>
                </c:pt>
                <c:pt idx="6">
                  <c:v>24803</c:v>
                </c:pt>
                <c:pt idx="7">
                  <c:v>23866</c:v>
                </c:pt>
                <c:pt idx="8">
                  <c:v>21399</c:v>
                </c:pt>
                <c:pt idx="9">
                  <c:v>20447</c:v>
                </c:pt>
                <c:pt idx="10">
                  <c:v>28514</c:v>
                </c:pt>
                <c:pt idx="11">
                  <c:v>29800</c:v>
                </c:pt>
              </c:numCache>
            </c:numRef>
          </c:val>
          <c:smooth val="0"/>
        </c:ser>
        <c:ser>
          <c:idx val="2"/>
          <c:order val="1"/>
          <c:tx>
            <c:strRef>
              <c:f>'Πίνακας 1'!$Q$5</c:f>
              <c:strCache>
                <c:ptCount val="1"/>
                <c:pt idx="0">
                  <c:v>2017</c:v>
                </c:pt>
              </c:strCache>
            </c:strRef>
          </c:tx>
          <c:marker>
            <c:symbol val="none"/>
          </c:marker>
          <c:dPt>
            <c:idx val="10"/>
            <c:bubble3D val="0"/>
          </c:dPt>
          <c:cat>
            <c:strRef>
              <c:f>'Πίνακας 1'!$O$6:$O$17</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'Πίνακας 1'!$Q$6:$Q$17</c:f>
              <c:numCache>
                <c:formatCode>#,##0</c:formatCode>
                <c:ptCount val="12"/>
                <c:pt idx="0">
                  <c:v>42839</c:v>
                </c:pt>
                <c:pt idx="1">
                  <c:v>42326</c:v>
                </c:pt>
                <c:pt idx="2">
                  <c:v>39088</c:v>
                </c:pt>
                <c:pt idx="3">
                  <c:v>32804</c:v>
                </c:pt>
                <c:pt idx="4">
                  <c:v>29922</c:v>
                </c:pt>
                <c:pt idx="5">
                  <c:v>30577</c:v>
                </c:pt>
                <c:pt idx="6">
                  <c:v>31670</c:v>
                </c:pt>
                <c:pt idx="7">
                  <c:v>31003</c:v>
                </c:pt>
                <c:pt idx="8">
                  <c:v>27951</c:v>
                </c:pt>
                <c:pt idx="9">
                  <c:v>26436</c:v>
                </c:pt>
                <c:pt idx="10">
                  <c:v>33780</c:v>
                </c:pt>
                <c:pt idx="11">
                  <c:v>35771</c:v>
                </c:pt>
              </c:numCache>
            </c:numRef>
          </c:val>
          <c:smooth val="0"/>
        </c:ser>
        <c:ser>
          <c:idx val="1"/>
          <c:order val="2"/>
          <c:tx>
            <c:strRef>
              <c:f>'Πίνακας 1'!$P$5</c:f>
              <c:strCache>
                <c:ptCount val="1"/>
                <c:pt idx="0">
                  <c:v>2016</c:v>
                </c:pt>
              </c:strCache>
            </c:strRef>
          </c:tx>
          <c:marker>
            <c:symbol val="none"/>
          </c:marker>
          <c:cat>
            <c:strRef>
              <c:f>'Πίνακας 1'!$O$6:$O$17</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'Πίνακας 1'!$P$6:$P$17</c:f>
              <c:numCache>
                <c:formatCode>#,##0</c:formatCode>
                <c:ptCount val="12"/>
                <c:pt idx="0">
                  <c:v>45969</c:v>
                </c:pt>
                <c:pt idx="1">
                  <c:v>45961</c:v>
                </c:pt>
                <c:pt idx="2">
                  <c:v>42783</c:v>
                </c:pt>
                <c:pt idx="3">
                  <c:v>36986</c:v>
                </c:pt>
                <c:pt idx="4">
                  <c:v>34047</c:v>
                </c:pt>
                <c:pt idx="5">
                  <c:v>35265</c:v>
                </c:pt>
                <c:pt idx="6">
                  <c:v>36112</c:v>
                </c:pt>
                <c:pt idx="7">
                  <c:v>35786</c:v>
                </c:pt>
                <c:pt idx="8">
                  <c:v>34007</c:v>
                </c:pt>
                <c:pt idx="9">
                  <c:v>33706</c:v>
                </c:pt>
                <c:pt idx="10">
                  <c:v>40646</c:v>
                </c:pt>
                <c:pt idx="11">
                  <c:v>41852</c:v>
                </c:pt>
              </c:numCache>
            </c:numRef>
          </c:val>
          <c:smooth val="0"/>
        </c:ser>
        <c:dLbls>
          <c:showLegendKey val="0"/>
          <c:showVal val="0"/>
          <c:showCatName val="0"/>
          <c:showSerName val="0"/>
          <c:showPercent val="0"/>
          <c:showBubbleSize val="0"/>
        </c:dLbls>
        <c:marker val="1"/>
        <c:smooth val="0"/>
        <c:axId val="209285504"/>
        <c:axId val="209287040"/>
      </c:lineChart>
      <c:catAx>
        <c:axId val="209285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b="0"/>
            </a:pPr>
            <a:endParaRPr lang="en-US"/>
          </a:p>
        </c:txPr>
        <c:crossAx val="209287040"/>
        <c:crosses val="autoZero"/>
        <c:auto val="1"/>
        <c:lblAlgn val="ctr"/>
        <c:lblOffset val="100"/>
        <c:tickLblSkip val="1"/>
        <c:tickMarkSkip val="1"/>
        <c:noMultiLvlLbl val="0"/>
      </c:catAx>
      <c:valAx>
        <c:axId val="209287040"/>
        <c:scaling>
          <c:orientation val="minMax"/>
          <c:min val="900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209285504"/>
        <c:crosses val="autoZero"/>
        <c:crossBetween val="between"/>
      </c:valAx>
      <c:spPr>
        <a:noFill/>
        <a:ln w="12700">
          <a:solidFill>
            <a:srgbClr val="808080"/>
          </a:solidFill>
          <a:prstDash val="solid"/>
        </a:ln>
      </c:spPr>
    </c:plotArea>
    <c:legend>
      <c:legendPos val="r"/>
      <c:layout>
        <c:manualLayout>
          <c:xMode val="edge"/>
          <c:yMode val="edge"/>
          <c:x val="0.84924046485774141"/>
          <c:y val="0.19417543680826305"/>
          <c:w val="0.11065027811215045"/>
          <c:h val="0.55663600302389393"/>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mn-lt"/>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200" b="1" i="0" u="none" strike="noStrike" baseline="0">
                <a:solidFill>
                  <a:srgbClr val="000000"/>
                </a:solidFill>
                <a:latin typeface="Calibri"/>
                <a:ea typeface="Calibri"/>
                <a:cs typeface="Calibri"/>
              </a:defRPr>
            </a:pPr>
            <a:r>
              <a:rPr lang="el-GR"/>
              <a:t>Διάγραμμα</a:t>
            </a:r>
            <a:r>
              <a:rPr lang="el-GR" baseline="0"/>
              <a:t> 2</a:t>
            </a:r>
            <a:r>
              <a:rPr lang="en-US" baseline="0"/>
              <a:t>: </a:t>
            </a:r>
            <a:r>
              <a:rPr lang="el-GR"/>
              <a:t>Ποσοστιαία κατανομή εγγεγραμμένων ανέργων κατά διάρκεια ανεργίας το 2017 και 2018
</a:t>
            </a:r>
          </a:p>
        </c:rich>
      </c:tx>
      <c:layout>
        <c:manualLayout>
          <c:xMode val="edge"/>
          <c:yMode val="edge"/>
          <c:x val="0.11475405502369759"/>
          <c:y val="3.4161544853915204E-2"/>
        </c:manualLayout>
      </c:layout>
      <c:overlay val="0"/>
      <c:spPr>
        <a:noFill/>
        <a:ln w="25400">
          <a:noFill/>
        </a:ln>
      </c:spPr>
    </c:title>
    <c:autoTitleDeleted val="0"/>
    <c:plotArea>
      <c:layout>
        <c:manualLayout>
          <c:layoutTarget val="inner"/>
          <c:xMode val="edge"/>
          <c:yMode val="edge"/>
          <c:x val="9.2927215266922783E-2"/>
          <c:y val="0.23700112721019595"/>
          <c:w val="0.79015382817407565"/>
          <c:h val="0.57622425723430715"/>
        </c:manualLayout>
      </c:layout>
      <c:barChart>
        <c:barDir val="col"/>
        <c:grouping val="clustered"/>
        <c:varyColors val="0"/>
        <c:ser>
          <c:idx val="0"/>
          <c:order val="0"/>
          <c:tx>
            <c:strRef>
              <c:f>'Πινακας 6'!$I$12</c:f>
              <c:strCache>
                <c:ptCount val="1"/>
                <c:pt idx="0">
                  <c:v>2017</c:v>
                </c:pt>
              </c:strCache>
            </c:strRef>
          </c:tx>
          <c:invertIfNegative val="0"/>
          <c:dLbls>
            <c:spPr>
              <a:noFill/>
              <a:ln w="25400">
                <a:noFill/>
              </a:ln>
            </c:spPr>
            <c:txPr>
              <a:bodyPr/>
              <a:lstStyle/>
              <a:p>
                <a:pPr>
                  <a:defRPr lang="el-GR" sz="10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'Πινακας 6'!$H$13:$H$17</c:f>
              <c:strCache>
                <c:ptCount val="5"/>
                <c:pt idx="0">
                  <c:v>κάτω από 15 μέρες</c:v>
                </c:pt>
                <c:pt idx="1">
                  <c:v>από 15 μέρες μέχρι 3 μήνες</c:v>
                </c:pt>
                <c:pt idx="2">
                  <c:v>από 3 μήνες μέχρι 6 μήνες</c:v>
                </c:pt>
                <c:pt idx="3">
                  <c:v>από  6 μήνες μέχρι 12 μήνες</c:v>
                </c:pt>
                <c:pt idx="4">
                  <c:v>πάνω από 12 μήνες</c:v>
                </c:pt>
              </c:strCache>
            </c:strRef>
          </c:cat>
          <c:val>
            <c:numRef>
              <c:f>'Πινακας 6'!$I$13:$I$17</c:f>
              <c:numCache>
                <c:formatCode>0%</c:formatCode>
                <c:ptCount val="5"/>
                <c:pt idx="0">
                  <c:v>6.6476648555565454E-2</c:v>
                </c:pt>
                <c:pt idx="1">
                  <c:v>0.29066832932513881</c:v>
                </c:pt>
                <c:pt idx="2">
                  <c:v>0.17995308927882189</c:v>
                </c:pt>
                <c:pt idx="3">
                  <c:v>0.15421157329057925</c:v>
                </c:pt>
                <c:pt idx="4">
                  <c:v>0.3086903595498946</c:v>
                </c:pt>
              </c:numCache>
            </c:numRef>
          </c:val>
        </c:ser>
        <c:ser>
          <c:idx val="1"/>
          <c:order val="1"/>
          <c:tx>
            <c:strRef>
              <c:f>'Πινακας 6'!$J$12</c:f>
              <c:strCache>
                <c:ptCount val="1"/>
                <c:pt idx="0">
                  <c:v>2018</c:v>
                </c:pt>
              </c:strCache>
            </c:strRef>
          </c:tx>
          <c:invertIfNegative val="0"/>
          <c:dLbls>
            <c:spPr>
              <a:noFill/>
              <a:ln w="25400">
                <a:noFill/>
              </a:ln>
            </c:spPr>
            <c:txPr>
              <a:bodyPr/>
              <a:lstStyle/>
              <a:p>
                <a:pPr>
                  <a:defRPr lang="el-GR" sz="10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'Πινακας 6'!$H$13:$H$17</c:f>
              <c:strCache>
                <c:ptCount val="5"/>
                <c:pt idx="0">
                  <c:v>κάτω από 15 μέρες</c:v>
                </c:pt>
                <c:pt idx="1">
                  <c:v>από 15 μέρες μέχρι 3 μήνες</c:v>
                </c:pt>
                <c:pt idx="2">
                  <c:v>από 3 μήνες μέχρι 6 μήνες</c:v>
                </c:pt>
                <c:pt idx="3">
                  <c:v>από  6 μήνες μέχρι 12 μήνες</c:v>
                </c:pt>
                <c:pt idx="4">
                  <c:v>πάνω από 12 μήνες</c:v>
                </c:pt>
              </c:strCache>
            </c:strRef>
          </c:cat>
          <c:val>
            <c:numRef>
              <c:f>'Πινακας 6'!$J$13:$J$17</c:f>
              <c:numCache>
                <c:formatCode>0%</c:formatCode>
                <c:ptCount val="5"/>
                <c:pt idx="0">
                  <c:v>7.5583784793573694E-2</c:v>
                </c:pt>
                <c:pt idx="1">
                  <c:v>0.33222492060526809</c:v>
                </c:pt>
                <c:pt idx="2">
                  <c:v>0.18677377171679432</c:v>
                </c:pt>
                <c:pt idx="3">
                  <c:v>0.13356996076966188</c:v>
                </c:pt>
                <c:pt idx="4">
                  <c:v>0.27184756211470201</c:v>
                </c:pt>
              </c:numCache>
            </c:numRef>
          </c:val>
        </c:ser>
        <c:dLbls>
          <c:showLegendKey val="0"/>
          <c:showVal val="0"/>
          <c:showCatName val="0"/>
          <c:showSerName val="0"/>
          <c:showPercent val="0"/>
          <c:showBubbleSize val="0"/>
        </c:dLbls>
        <c:gapWidth val="150"/>
        <c:axId val="209846272"/>
        <c:axId val="209847808"/>
      </c:barChart>
      <c:catAx>
        <c:axId val="209846272"/>
        <c:scaling>
          <c:orientation val="minMax"/>
        </c:scaling>
        <c:delete val="0"/>
        <c:axPos val="b"/>
        <c:numFmt formatCode="General" sourceLinked="1"/>
        <c:majorTickMark val="none"/>
        <c:minorTickMark val="none"/>
        <c:tickLblPos val="low"/>
        <c:txPr>
          <a:bodyPr rot="0" vert="horz"/>
          <a:lstStyle/>
          <a:p>
            <a:pPr>
              <a:defRPr lang="el-GR" sz="1000" b="1" i="0" u="none" strike="noStrike" baseline="0">
                <a:solidFill>
                  <a:srgbClr val="000000"/>
                </a:solidFill>
                <a:latin typeface="Calibri"/>
                <a:ea typeface="Calibri"/>
                <a:cs typeface="Calibri"/>
              </a:defRPr>
            </a:pPr>
            <a:endParaRPr lang="en-US"/>
          </a:p>
        </c:txPr>
        <c:crossAx val="209847808"/>
        <c:crosses val="autoZero"/>
        <c:auto val="1"/>
        <c:lblAlgn val="ctr"/>
        <c:lblOffset val="100"/>
        <c:tickLblSkip val="1"/>
        <c:tickMarkSkip val="1"/>
        <c:noMultiLvlLbl val="0"/>
      </c:catAx>
      <c:valAx>
        <c:axId val="209847808"/>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09846272"/>
        <c:crosses val="autoZero"/>
        <c:crossBetween val="between"/>
      </c:valAx>
    </c:plotArea>
    <c:legend>
      <c:legendPos val="r"/>
      <c:overlay val="0"/>
      <c:txPr>
        <a:bodyPr/>
        <a:lstStyle/>
        <a:p>
          <a:pPr>
            <a:defRPr lang="el-GR" sz="6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E052ED-3742-48A6-9A82-9A0F9041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ΕΤΗΣΙΑ ΕΚΘΕΣΗ ΕΓΓΕΓΡΑΜΜΕΝΗΣ ΑΝΕΡΓΙΑΣ</dc:title>
  <dc:subject>ΚΑΙ ΕΤΗΣΙΑ ΣΤΑΤΙΣΤΙΚΑ ΣΤΟΙΧΕΙΑ</dc:subject>
  <dc:creator/>
  <cp:lastModifiedBy>Administrator</cp:lastModifiedBy>
  <cp:revision>50</cp:revision>
  <cp:lastPrinted>2019-04-17T07:11:00Z</cp:lastPrinted>
  <dcterms:created xsi:type="dcterms:W3CDTF">2019-01-25T08:09:00Z</dcterms:created>
  <dcterms:modified xsi:type="dcterms:W3CDTF">2020-06-24T09:06:00Z</dcterms:modified>
</cp:coreProperties>
</file>